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Staff Software Engineer with 11 years in software development focusing on web and mobile applications. Proven skills in Kotlin, Java, C#, PostgreSQL, Spring Boot, and various front-end technologies to lead ambitious projects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C#, TypeScript,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Spring Boot, Node.js, Express, GraphQL,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Snowflake,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Serverless, API Design, Distributed Systems, Design Patterns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event-driven distributed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functionality of GRC solutions, rapidly responding to changing project requirements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transitioning legacy systems to modern architecture,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that improved data retrieval efficiency and facilitated integration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collaboration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technical specifications and architectural guidelines for new projects, ensuring alignment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product discovery activities that involved gathering and interpreting customer feedback, leading to innovative solutions that enhanced user experience and product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developing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the reliability and performance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clear and concise technical documentation, enabling effective communication of complex technical concepts to both technical and non-technical stakeholders during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sharing knowledge and solutions that drive best practices within the industry and demonstrating thought leadership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propose proactive solutions aimed at improving user experience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quality standards, guaranteeing that code contributed to projects adheres to best practices and industry norms.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operations team to establish a robust production support framework, effectively managing incident response and minimizing system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AI tooling and frameworks to automate processes within the development lifecycle, enhancing productivity and reducing manual effort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presentations for stakeholders, translating complex concepts into actionable insights that informed project decisions and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decreased integration issues and faster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scripts for automation purposes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that enhanced operational efficiency and reduced redundancies.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efficiency in application performance while implementing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UX/UI designers to translate wireframes and prototypes into responsive web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offered an intuitive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including sprint planning and retrospectives, contributing to team accountability and fostering a proactive work environment that encouraged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data handling processes and integrated continuous delivery pipelines, significantly improving deployment frequency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potential bottlenecks and implement solutions to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existing applications to a microservices architecture, enhancing maintainability and enabling independent deployment cycles for various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key insights during project retrospectives, refining development strategies that improved team efficiency and project delivery timelines consistently over multiple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maintaining compliance with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