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multimodal AI applications, cognitive systems, and human-computer interaction. Proven track record of designing intelligent interfaces that integrate natural language processing with computer vision. Expert in architecting scalable systems and leading cross-functional teams to deliver user-centric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Java, Rust, C++,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JAX, scikit-learn, Keras, OpenAI GPT-4, CLIP,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HTML/CSS, WebSockets, VUE.js,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Azure DevOps, AWS,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Cypress, Postman, Prometheus, Grafana, Mocha,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multimodal interfaces combining text, visuals, and UI semantics to enhance agent grounding and decision-making capabilities, ensuring a user-centered approach in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perception pipelines that enabled cognitive agents to comprehend software user interfaces, emotional context, and user intents seamlessly, translating human actions into machine interpretable commands.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cognitive reasoning frameworks that integrated memory and contextual understanding, allowing for multi-step task execution and real-time user feedback loops to improve agent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designers, to create intuitive agent behaviors focused on transparency, safety, and trust in AI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reinforcement learning strategies for continuous improvement of agent interactions, utilizing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Tree-of-Thought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encourage adaptive behaviors in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safe sandbox environments that isolated browser interactions, employing technologies like Firecracker and gVisor to test cognitive systems securely without compromising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methodologies for integrating multimodal models to ensure goal-oriented agent behavior, drawing on extensive knowledge of human-computer interaction principles and applied reasoning.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multimodal integration and AI safety, fostering a culture of innovation and responsibility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compliance teams, ensuring cognitive systems adhere to security and ethical guidelines while scaling across various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large language models (LLMs) with external tools, automating processes and enhancing user experiences in financial applications using modern programming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evaluations of planning and reasoning agents, employing structured datasets to benchmark performance in dynamic, real-world environments, informing further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observability techniques to monitor agent performance and behavior accurately, adapting algorithms based on emergent usage patterns and user interactions with the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captivating user interface interactions that resonate with user emotions and instincts, ensuring that AI agents provide supportive and understandable solutions, ultimately improving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cutting-edge AI technologies and trends in cognitive science, enhancing team expertise and encouraging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mission-driven environment, advocating for financial well-being through AI solutions that address socioeconomic challenges faced by many consumers.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large-scale intelligent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back-end services with dynamic front-end solutions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researchers to iterate on design prototypes, providing insightful feedback that informed user interface development and improved the overall user experience of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implementing machine learning models that significantly impacted user personalization and system responsiveness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to automate repetitive tasks using APIs and RPA tools, enhancing workflow efficiency within various Google products through innovative solutions tailored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ensure consistent code quality and architecture standards, fostering a culture of excellence and maintainability across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led sprint planning sessions to organize project development phases, ensuring timely delivery of feature-rich applications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by employing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deployments and scalability of applications running on cloud infrastructure,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UI testing, significantly reducing the time needed for quality assurance checks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machine learning, demonstrating a commitment to community-driven software development and nurturing a culture of collaborative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thinking workshops to ideate solutions that bridged gaps between user needs and technical execution, ensuring that final product iterations met user expectations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by profiling bottlenecks, yielding significant improvements in response times and resource utilization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usage patterns and user demographics using data-driven techniques, informing subsequent development strategies and leading to more personalized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