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Java, Kubernetes, and CI/CD processes, with a strong focus on high-scale system architecture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Google Cloud Platform,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Kafka,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Terraform, Ansible,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Splunk, Logstash, Datadog,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financial data processing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scalability and performance, facilitating the integration of diverse data sources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system performance through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orchestrating microservices that handle complex data analytics for investment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monolithic applications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flexibility and deployment efficiency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reduced operational costs while maintaining compliance with industry-specific security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logging and monitoring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the observability of the microservices architecture and enabling proactive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code reviews to uphold best practices in software development, engaging stakeholders to ensure that solutions aligned with user requirements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development, significantly improving code quality and adherence to industry standards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relational and non-relational database management,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 mechanisms supporting high-concurrency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integration and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productivity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contributed to design documents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Addepar's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architectural goals and strategic initiatives in investment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aimed at improving team collaboration and project management, leading to quicker delivery of high-quality software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performance tuning sessions, achieving significant optimizations and ensuring that critical systems could scale in response to the demands of a growing client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identifying and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responsiveness to changing project requirements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 and system design discussions, advocating for innovative technologies and methods that align with future investment data needs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architecture, facilitating knowledge sharing and onboarding for new team members, ultimately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in diverse programming environments while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utilizing frameworks and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Iterated on application features through collaborative agile practices, enhancing user experience and performance while leveraging the latest technologies in cloud and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various third-party services, ensuring seamless interactions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 to cultivate a culture of quality and continuous improvement, sharing insights and advocating for best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high-traffic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page load times and refining interactive elements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align engineering efforts with customer goals, conducting user research and usability testing to drive feature development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flows for applications specifically geared towards investment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build visually appealing user interfaces,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into product architecture, leveraging knowledge of cloud technologies to recommend changes aimed at improving scalability and reducing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novel strategies to entertain rapid deployment cycles and maintaining high-quality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translating them into actionable technical projects to bolster product offerings' relevance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technical issues with confidence, quickly identifying bottlenecks and devising strategies to rectify them, showcasing strong problem-solving and analytical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