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Java 17+, Spring Boot, and AWS with a strong background in healthcare IT and systems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NoSQL,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Bootstrap, Junit, Mockito,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API Gateway, S3, Lambda, IAM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HL7, FHIR, X12, JSON, XML, TCP/IP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enhancing data exchange and integration within healthcare systems, improving overall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code, optimizing performance and maintainability, which improved system responsiveness and reduced technical debt for the healthcare technology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of software bugs and implemented effective solutions, which enhanced the reliability of the healthcare applications and increased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maintained best practices in coding standards, contributing to the internal knowledge base and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Java technologies, promoting a collaborative environment and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reviews, successfully helping the team deliver high-quality software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facilitating smooth collaboration among team members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persistence strategies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the varying storage needs of healthcare applications while ensuring data consistency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applications' cloud capabilities, implementing solutions for storage, computing, and scalability that align with industry-standard protocols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optimization, leading to improved application speed and resource management during peak usage times, critical for healthcare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coding standards, enhancing code quality and knowledge sharing among team members, and reducing future code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each feature met design specifications and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clearly to non-technical stakeholders, ensuring alignment on project goals and securing necessary approvals in support of healthcare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scalability capabilities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application security, to facilitate seamless interactions for various healthcare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specifications, driving initiatives that align with strategic goals and enhance healthcare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exchange within existing systems, successfully improving the functionality and reach of online healthcare services while adhering to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peer programming sessions, sharing best practices and fostering an environment of collective code ownership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dynamic and responsive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user experience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defect tracking and resolution processes effectively, documenting issues and coordinating with teams to maintain high-quality software outputs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skill development by learning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existing competencies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deployment times and improved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data schemas,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ensure efficient data access and manipulation for healthcare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project meetings, effectively communicating technical details to diverse teams, and ensuring that solutions align with compliance and regulatory frameworks in health 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audits and implemented benchmarking protocols, providing insights that drove enhancements across multiple healthcare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enabling seamless development, testing, and deployment processes, contributing to a more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