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web and mobile applications. Proven expertise in BPMN-based low-code/no-code tools, API integration, agile development, and cloud computing, complemented by a robust understanding of AI/ML and government contracting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Golang, HTML5, CSS3,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OpenShift, CloudFormation,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Docker, Kubernetes, Ansible, Jenkins, Apache,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/ No-Code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OutSystems, Mendix, Bubble, Salesforce Lightning, Zoho Creator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PostgreSQL, MongoDB, Kafka, REST, GraphQL, Data Fabric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JBoss, Tomcat, Zookeeper, Apache Web Server, Keycloak, RHEL,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architect sophisticated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low-code/no-code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enhancing functionality and usability for federal contract applications while maintaining adherence to compliance protocols and user needs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streamline workflows, ensuring seamless collaboration between systems while promoting rapid deployment and scalability in enterprise solutions for public sector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iterative development cycles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drive continuous improvement in delivery processes, fostering collaboration and adaptability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optimize backend processes, enhancing data integration and automation across business layers of legacy government contracting systems to meet evolving client expectations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proposed strategic architectural decisions to improve system performance, focusing on modularity, security,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safe and reliable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detailing system functionalities and operational guidelines, facilitating knowledge transfer and understanding among technical and non-technical stakeholders, thereby enhancing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industry trends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 re-engineering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tactics to recommend innovative approaches that align with market needs and global standards, boosting the team’s technological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solution designs to improve data access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increasing the agility of applications while ensuring robust performance and reliability even during peak usage scenarios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the application of new technologies and best coding practices, promoting a culture of learning and innovation within the team, while enhancing overall project delivery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application interfaces, merging technical requirements with user experience considerations to drive user adoption and satisfaction across deployed solutions in public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data models and access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enterprise applications tailored for specific government sector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multidisciplinary teams to gather requirements and redefine workflows,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system interactions and effectiveness in meeting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application performance and identifying bottlenecks promptly, thereby enhancing overall efficiency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and compliance checks into the development lifecycle to protect sensitive data and align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 regulations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deliverables meet government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adoption of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release cycles significantly and improving application stability while minimizing downtime for critical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applications, embracing the latest technologies and best practices, resulting in enhanced user experiences and achieving higher engagement rates for various consumer-focused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retrospectives to track progress and iterate on project requirements, strengthening team cohesion while maintaining a focus on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integration of third-party services and 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comprehensive solutions that maximized business capabilities and provided users with seamless interactions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 that supported the onboarding of new team members and stakeholder education, reinforcing team transparency and communication effectively across organizational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repository management tools and 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elevating the deployment strategy and enhancing collaboration among team members during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applying refactoring techniques, optimizing code performance and maintainability, leading to long-term sustainability and reduced technical debt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clients to translate business challenges into technology-driven solutions, fostering partnerships that contributed to project success and client satisfaction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ensuring consistency across environments while enhancing development workflows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project vision through active participation in brainstorming sessions and design sprints, facilitating a collaborative environment that nurtured creativity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performance tracking and improvement techniques across deployed applications, significantly enhancing application uptime and minimizing incidents related to system failures and user experience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embrace modern development practices such as test-driven development (TDD) and behavior-driven development (BDD), embedding quality driven culture 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 to executives within the organization, aligning technology decisions with business objectives and ensuring that the information technology strategy supported overarching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