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systems development and AI infrastructure solutions. Proficient in designing scalable APIs and managing GPU resource allocation in high-performance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C++, Node.js, Ruby, Rust,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OpenAPI, Postman, Swagger,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Helm,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Query Optimization,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ELK Stack, Datadog, Nagios, Splunk, Zabbix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for real-time GPU resource allocation to enhance the user experience in accessing and utilizing complex AI workloads across multiple cloud environments and tenant spaces.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scheduling algorithms to optimize GPU utilization while ensuring compliance with service level agreements, enabling efficient use of expensive compute resources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resource management systems to effectively handle the lifecycle of GPU resources, including provisioning, allocation, scheduling, and release, while maintaining system stability and performance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usage tracking mechanisms for monitoring GPU-hours, memory usage, and compute utilization, facilitating timely billing and performance assessments for clients utilizing AI infrastructure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monitoring systems for GPU health checks and automatic failure recovery processes, ensuring that client workloads experience minimal downtime during critical operations and scheduled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intuitive interfaces that abstract complex infrastructure operations and provide seamless integration for developers working with GPU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AI-assisted coding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productivity and code quality, resulting in a more efficient development process focused on rapid iteration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trends in AI infrastructure to introduce new methods for optimizing model serving processes, resulting in significantly improved turnaround times for deploying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frontend engineers to ensure smooth communication between backend systems and user interfaces, fostering collaborative development practices that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R&amp;D on GPU utilization patterns to inform architectural changes aimed at enhancing performance and scalability for AI workload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Linux systems and container orchestration tools to streamline deployment practices while ensuring system resilience and reliability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training workshops for junior engineers on best practices in GPU memory management and computational task scheduling, cultivating a knowledge-sharing environment that empowers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multi-tenancy systems with strict resource isolation and quota management protocols, providing fair access to compute resources while adhering to best practices in cloud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promoting adherence to best coding practices and standards within the backend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navigated a fast-paced startup environment by embracing ambiguity and promoting adaptability within the engineering team to meet rapidly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efficient backend services that integrated with various machine learning components, enhancing the overall performance and reliability of production systems used for AI initiatives across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resource scheduling mechanisms for high-demand services, ensuring optimal allocation and minimal latency in processing requests critical for machine learning models and real-time analytics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convert complex AI algorithms into performant and accessible APIs, allowing for better integration and utilization of machine learning models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queries for high-frequency trading systems, enabling faster decision-making capabilities to respond to market shifts and emerging opportunities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microservices architecture, supporting rapid development cycles and improving system scalability while reducing deployment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service monitoring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health and performance were consistently monitored and acted upon.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comprehensive CI/CD pipeline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the development workflow and increasing release confidence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importance of robust API design principles, emphasizing the need for resilience and user-centered development, which improved overall project quality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authorization mechanisms across APIs to protect sensitive data and ensure compliance with regulatory standards regarding data privacy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areas for optimization, leading to significant improvements in application responsiveness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features, translating business needs into technical specifications that align with the architectural goals of the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processes through code refactoring and performance tuning, contributing to enhanced system efficiency and reducing operational costs related to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