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specializing in web and mobile application development, including leadership roles. Proficient in backend and frontend technologies with strong architecture and machine learning expertise.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HTML5, CSS3,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Apache Spark, MLflow, Reinforcement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MySQL, MongoDB, Redis, Cassandra,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Terraform, CI/CD,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Confluence, Slack, Figma, WebSockets,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for scalable web applications at iVision, enhancing overall system performance through effective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by collaborating with product teams and aligning them with customer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ensuring robust APIs facilitated seamless interaction with front-end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engineers, promoting strong coding practices and adherence to industry standards which improved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machine learning models within the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advanced personalization features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caching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reducing response times and enhancing 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across teams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clear communication and project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transitioning the application to a microservices architecture, increasing deployment flexibility and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to ensure rapid iteration and product delivery, adapting to changing requirements on a daily basis.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to handle real-time data processing, significantly improving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machine learning engineers to develop and optimize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predictive accuracy in consumer behavior modeling.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including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software quality before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to stay updated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potential applications for product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enhancing data retrieval speeds.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improving user experience through UI updates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intuitive design principles and accessibility.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at Google, focusing on both backend and frontend technologies to improve system efficiency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enabling robust application features and seamless integration across various platforms, enhancing overall system modularity.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align software development with user-centered design principles, fostering a strong commitment to functional product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user interface through dynamic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responsiveness and accessibility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machine learning capabilities into existing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predictive analytics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that raised code quality and shared knowledge among engineers, leading to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streamline the development and deployment processes, ensuring a consistent environment for all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to share ideas and best practices, fostering an environment of continuous learning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ensuring efficient communication between microservices, improving data exchange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skills and adaptability to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processing pipelines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data retrieval and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CI/CD best practices into deployment routines, facilitating faster deployments and more efficient software maintenance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