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focused on web and mobile applications. Proven expertise in building responsive user interfaces and architecting both React and Angular applications, leveraging advanced technologies to deliver high-quality software solutions. Adept at collaborating with cross-functional teams to enhance user experience and optimize frontend performance, with a strong commitment to maintaining high standards of code quality and adopting innovative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Angular, HTML, CSS, SCSS, REST API, SSE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Karma, Jasmine, Jest, Vitest, Mocha, Chai, Cypress,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w:t>
      </w:r>
      <w:r w:rsidRPr="009C6822">
        <w:rPr>
          <w:rFonts w:ascii="Roboto Light" w:eastAsia="Roboto Light" w:hAnsi="Roboto Light" w:cs="Roboto Light"/>
          <w:sz w:val="20"/>
          <w:szCs w:val="20"/>
        </w:rPr>
        <w:t xml:space="preserve"> Redux, Zustand, Jotai, Context API, RxJS, Recoil, MobX, Formik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CI/CD, Docker, Kubernetes, Webpack, Babel, Azure DevOps,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Azure Application Insights, Grafana, Log Analytics, Sentry, New Relic, Prometheus, Application Insights,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features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 Material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streamlined user experience and improved performance, focusing on responsive design and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future scalability, actively collaborating with product and design teams to define requirements and deliver intuitive user experiences, ensuring projects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component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strong testing culture to enhance code reliability and prevent regressions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streaming to deliver real-time features for end users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code quality through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fostering knowledge sharing across the engineering team, nurturing a collaborative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UIs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performance metrics and user interactions, using this data to improve critical paths in the application and enhance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feature branches and pull requests effectively, while ensuring seamless collaboration and communication within the engineering team and maintaining code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reusable component library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development processes by establishing consistency across applications and reducing duplication of effort.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advocating for strong typing discipline across frontend codebases, thereby improving maintainability and reducing runtime errors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coding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productivity, demonstrating the ability to incorporate modern tools into workflows and drive team adaptation towards innovative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agile methodologies, actively participating in sprint planning sessions and retrospectives, ensuring alignment with team goals, while continuously iterating on product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frontend architecture discussions, contributing to state management decisions and dependency configurations to enhance team workflow and maintain project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mentoring sessions for junior developers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programming effectively, promoting best practices in handling data streams and event handling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accessible and performant UIs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ensuring products are inclusive and meet diverse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transformational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frontend stack to improve user interactions with advanced technologies, keeping ahead of industry trends in software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for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while maintaining code quality through adherence to best practices in component architecture and state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refine application interfaces,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transitions and animations to enhance user experience and engagement, while ensuring alignment with design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promoting knowledge sharing among engineers, upholding high standards for code quality, and fostering an environment of continuous improvement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validate application functionality, significantly reducing the potential for defects in production deployments while ensuring that deliverables align with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frontend build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load times and maintainability of assets, contributing to an overall reduction in application startup time and enhancing the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redesign of the company’s web application architecture, migrating to a microservices-based architecture with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consideration for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 across various modules.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deployment cycles while maintaining the reliability and stability of the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in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understanding of type-checking and its impact on reducing bugs and improving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new technologies and frameworks to advance the team's capabilities, consistently pushing towards adopting cutting-edge solutions and improving team efficiency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encouraging team engagement with open-source projects, contributing to community-driven initiatives that align with company interests and values.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observability and error tracking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monitoring and swift resolution of issues that could impact user satisfaction and overall service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 standards and guidelines, particularly in projects where data security and user privacy were paramount, demonstrating strong alignment with corporate governance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