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Engineering Solutions Architect with 11 years of experience in software development, focusing on web and mobile applications. Adept at leveraging enterprise architecture, software engineering principles, and team leadership to design scalable, secure, and high-performance solutions that support educational challenges and enhance learning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PHP, JavaScript, Python, Ruby, C#, Swift,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React, Angular, Laravel, Django, Node.js, Vue.js,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Jenkins, Git,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Cassandra, Redis, Elasticsearch,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Service-Oriented Architecture, Microservices, Event-Driven Architecture, API Development, RESTful Services, GraphQL, Legacy System Integration, Distributed Systems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Selenium, Postman, JUnit, Prometheus, Grafana, New Relic, Logstash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Solutions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at iVision, designing and implementing secure, scalable software applications tailored to educational institutions' needs, resulting in improved accessibility and enhanced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Responsible for establishing best practices and developing technical documentation for the Solutions Architecture team, ensuring smooth collaboration with cross-functional stakeholders and maintaining high project delivery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development teams, and external partners to translate user requirements into robust technical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project adaptability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performance and reliability through effective resource management and optimization techniques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orchestrated the integration of distributed systems ensuring high availability, disaster recovery, and performance optimization, while evaluating prevailing industry trends that impact system architecture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pipeline, leading to a significant reduction in deployment time and enhanced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technical assessments of existing systems, identifying areas for enhancement and scalability, while fostering a culture of continuous improvement among the engineering teams to adapt to changing technology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both functional and non-functional requirements for applications based on user feedback, business strategy, and industry standards, which bolstered alignment between software solutions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architectural principles, software development best practices, and coding standards, fostering an innovative and collaborative team environment focused on high-quality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industry standards, driving the adoption of best practices in software development which helped position iVision as a thought leader in the EdTech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with stakeholders to articulate technology roadmaps and strategic initiatives that align with long-term organizational goals while adapting to evolving educational technology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integrate security best practices into the software development lifecycle, ensuring compliance with regulatory standards such as FERPA and COPPA that govern EdTech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and reported on architecture implementation status, adapting solutions in real-time to mitigate any project risks while maintaining transparency and communication across all project facets.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metrics for assessing solution architecture performance, making data-driven recommendations that guided future technical decisions and prioritization of features for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ensure that solutions adhered to architectural standards and effectively met business objectives, driving alignment and accountability across project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several innovative web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user engagement and drove strategic user acquisition efforts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creation of highly scalable and resilient distributed systems architecture, employing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Service-Oriented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user demands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for various applications, ensuring smooth integration with third-party services and enhancing the functionality and performance of Google’s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cross-functional teams to gather, analyze, and translate business requirements into technical specifications and wireframes, fostering a strong partnership between development and product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Google’s cloud offering by designing microservices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improve performance while reducing operational overhead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security and compliance during the software development lifecycle, ensuring that all applications met Google’s high standards for user data protection and regulatory adherence.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leadership in software development processes, mentoring junior engineers on best coding practices, design patterns, and technologies to inspire a culture of continuous learning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presented architectural decisions and proposed enhancements to senior leadership, benefiting from feedback and ensuring alignment with overall business strategies and technical roadmaps.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analytics tools to drive decision-making processes, applying real-time monitoring and assessment while ensuring effective tracking of application performance and user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fostering community engagement and knowledge sharing, which boosted innovation and collaboration both in and outside of Google’s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uphold quality standards, significantly reducing defect rates in applications and bolstering overall team productivity and cross-team collaboration within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operational support and troubleshooting of production systems, applying strong problem-solving skills and technical knowledge to restore service with minimal disruption to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