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comprehensive experience in software development focused on scalable web and mobile applications, ensuring high performance and responsive design. Proficient in advanced frameworks and tools fostering innovative solutions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Django, Spring Boot, ASP.NET,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and maintaining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enhanced user engagement and satisfaction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ensure seamless integration and functionality, leading to improved system flexibility and reduced maintenance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consistent code quality through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culture of continuous improvement and collaboration within the team, leading to successful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architectural discussions to align development efforts with business goals and technical requirements, ensuring that projects adhere to the highest standards of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reliability through performance tuning and debugging efforts,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and resource utilization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requirements and translate them into actionable technical specifications, ensuring clarity and alignment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create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a positive user experience and increased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unit testing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code reliability and facilitated easier maintenance across various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daily stand-ups and sprint planning sessions to enhance team productivity and accountability while ensuring consistent and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application security protocols to safeguard sensitive data while ensuring compliance with industry regulations such as GDPR and CCPA.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web technologies, enhancing community engagement and showcasing technical expertise aligned with current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 forums and workshops to stay updated on emerging technologies, promoting continuous learning and innovation within the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maintainability across multiple projects and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cloud migration initiatives which involved transitioning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cost efficiency for the business.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microservices architecture to enhance application performance and simplify the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 teams to transform user stories into technical specifications, ensuring the end product aligns with business objectives while meeting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of existing applications through various techniques, including code refactoring, infrastructure scaling, and implementing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(GCP) services for database storage and handling, ensuring robust, scalable, and efficient handling of user data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responsive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adaptability across devices while improving user interactivity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facilitate project timelines and foster efficient communication in delivering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to enhance scalability and ease future integrations, ensuring alignment of development practices with best industry standards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promote high standards for code quality, performance, and security, instilling best practices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applications, which significantly improved testing efficiency and reduced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in system architecture decisions, ensuring chosen solutions effectively met business objectives while leveraging existing company technologies and vendor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front-end optimizations, employing asynchronous data-fetching strategies and lazy loading techniques to improve application responsiveness and decrease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brainstorming and problem-solving sessions, exchanging innovative ideas while promoting a collaborative atmosphere that values diverse inputs and technical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