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high-performance AI infrastructure and compute platforms. Proven ability in Kubernetes, Go, and GPU computing to drive innovation and efficiency in large-scale distributed systems. Committed to delivering scalable solutions through collaboration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C++, Python, Rust,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OpenStack,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SLURM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KVM, Xen, Vagrant,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InfiniBand, RDMA, NVLink, NVSwitch, SR-IOV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FastAPI, gRPC, CUDA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orchestration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clusters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resource scheduling and enabling efficient utilization of high-performance computing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intelligent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workload scheduling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maximized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utilization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throughput and low latency for demanding AI training and inference workloads across co-located infrastructure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bare-metal provisioning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management techniques, establishing automation and tooling for the complete lifecycle of bare-metal servers from initial configuration to ongoing updates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implementation of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telemetry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compute platforms, allowing visibility and observability into performance metrics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virtualization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SDKs, empowering researchers to programmatically provision and manage compute resources smoothly within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components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performance-critical systems, balancing high throughput with low latency to achieve near-bare-metal efficiency in containerized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isolation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boundaries, ensuring safe sharing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strict resource quotas across various research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latest-generation NVIDIA GPU configurations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(including H100 and A100), focusing on efficient resource management and multi-tenant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system architecture and enhancing the infrastructure for high-compliance environments, establishing best practices in building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AI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in adopting agile methodologies, fostering an environment of collaboration and adaptability in tackling complex challenges in performance and scalability of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automated deployment and orchestration capabilities within research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simplifying the management of distributed AI training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defined product requirements with stakeholders, enhancing collaboration across product and engineering teams to deliver superior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training materials and conducted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fundamentals and virtualization technologies to promote skill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providing insights that drove innovation and the implementation of cutting-edge solutions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regulations by aligning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practices with established security protocols, enhancing system integrity across multi-tenant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compute platforms at scale,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container orchestration technologies to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Mitigated performance risks by providing solutions for resource management and scheduling challenges, facilitating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utilization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required for complex computations in large-scale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evolve existing methodologies for automated provisioning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bare-metal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speed and reliability of research computing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microservices architecture, significantly enhancing the agility and scalability of AI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model training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enhancement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performance metrics across production environments, aligning closely with operational objectives for large-scale AI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algorithms for workload optimization, achieving significant improvements in execution time and resource allocation in production environments reliant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observational tools and telemetry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clusters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critical insights that enabled proactive maintenance and maximization of resource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collaborated in knowledge-sharing sessions, ensuring best practices were adhered to and enhancing overall code quality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discussions to establish high-level architectural goals, providing significant contributions that shaped the future of high-performance computing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efficient resource management solutions, aligning hardware capabilities with software demands for research-intensive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that enhanced the capabilities of distributed systems, implementing innovative solutions that ensured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utilization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GPU resources across various research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creating technical documentation which detailed workflows, architectural designs, and implementation strategies, helping to foster an understanding of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