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engine and rendering optimization, focusing on console game development and cross-platform porting. Expert in driving performance through collaborative efforts and deep technical insights.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HLSL, GLSL, C++, C#,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DirectX 12, Vulkan, OpenGL, Shader Model, Ray Tracing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Perforce, Visual Studio, Unreal Engine,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CPU Optimization, GPU Optimization, Profiling Tools, Memory Management, Load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Cross-Platform Development, Continuous Integration, Version Control, Debugging Techniques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porting efforts of numerous console titles, ensuring high-quality performance through a deep understanding of engine internals and maintaining compliance with each console's unique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rendering pipeline by analyzing the performance of each stage, leading to significant enhancements in graphical output and frame rates across multiple game titles.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profiling of CPU and GPU workloads, implementing low-level improvements that enhanced frame rates while maintaining high visual fidelity, significantly improving player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and debugged complex legacy code bases inherited from external teams, adapting them to meet strict performance and quality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 and tools engineers to develop new features and extend existing ones when built-in capabilities were insufficient for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shared best practices in rendering techniques and engine code management, fostering an environment of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complex merges and collaborating with team members to clean up code and enhance overall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training materials and conducted workshops on graphics rendering pipelines, enabling knowledge transfer regarding advanced techniques for colleagues and newer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development of high-performance rendering systems for mobile and web applications, utilizing industry-standard rendering techniques to enhance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rendering techniques on various projects, ensuring scalability and performance while pushing the limits of graphical processing to achieve stunning visuals.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software development process, collaborating with cross-functional teams to deliver projects on time and within budget, thereby increasing team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shader programs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HLSL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GLSL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rendering performance while providing visually compelling graphics that engaged players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optimized asset management tools for smoother texture loading,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collaboration and streamlined workflows with external partners leading to improved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porting existing projects onto new hardware architectures which reduced reliance on legacy technologies and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transitions to new graphics APIs, preparing teams for upcoming trends in rendering technologies and ensuring our products remained competitive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