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over 11 years of experience specializing in backend development, financial systems integration, and team leadership. Proven ability to design robust systems that drive efficiency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FastAPI,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Patterns &amp; Architectures:</w:t>
      </w:r>
      <w:r w:rsidRPr="009C6822">
        <w:rPr>
          <w:rFonts w:ascii="Roboto Light" w:eastAsia="Roboto Light" w:hAnsi="Roboto Light" w:cs="Roboto Light"/>
          <w:sz w:val="20"/>
          <w:szCs w:val="20"/>
        </w:rPr>
        <w:t xml:space="preserve"> Microservices, Event-Driven Architecture, CQRS, Domain-Driven Design,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critical financial systems for robust payment processing and fraud detection, ensuring compliance with regulatory standards while optimizing backend performance for high-volume transactions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architecture discussions and technical decision-making processes, influencing design strategies that enhanced system reliability and performance across a distributed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engineering staff in best practices, coding standards, and design patterns, fostering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and scalable architectures for handling sensitive financial data,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KYC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to mitigate risks associated with financial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through advanced debugging techniques and performance tuning, increasing overall system efficiency and reducing downtime in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product and compliance units, to ensure alignment of system design with business requirements and regulatory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to meet evolving business needs, focusing on enhancing user experience and overall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code assessments to safeguard system architecture integrity, pushing for adherence to established engineering practices and legacy modernization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financial APIs to improve payment workflows and enhance fraud detection capabilities while ensuring seamless coordination between multiple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Invested time in developing knowledge-sharing initiatives, introducing workshops and training materials that promoted collective growth of engineering principles and modern technologies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 to support complex transaction processing workflows effectively while minimizing latency and maximizing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in financial applications, consistently adhering to code quality standards and best practices through peer reviews, thereby facilitating smoother software releases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system design decisions aimed at optimizing application responsiveness and scalability, making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integrating advanced security protocols and compliance check mechanisms within payment processing applications, ensuring strict adherence to financial regulations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