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web and mobile applications, specializing in React, TypeScript, and AI tools for productivity. Proven ability to collaborate cross-functionally and deliver high-quality code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TypeScript, JavaScript, HTML5, CSS3, Redux,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Python, Ruby, Node.js, GraphQL, PostgreSQL, Redis,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Cloudflare, Vercel, Terraform, GitHub Actions,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Metabase, Segment, dbt, Retool, SQL, NoSQL, Data Warehousing, ETL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AI Frameworks, Generative AI Tools, Automation Scripts, Chatbots, Cloud AI Services, Predictive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robust,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feature delivery speed and user satisfaction through agile methods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resulting in significant reductions in repetitive coding tasks and allowing more time for innovative feature creation.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UI enhancements and performance optimizations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mobile applications, leading to improved user experience and increased engagement with the brand's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scalable backend solutions that underpinned a responsive frontend interface designed for user-driven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gathering feedback and iterating product designs in real-time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data-driven decision-making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the deployment of applications onto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continuous integration and delivery pipelines are optimized for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enforcing rigorous quality standards on production code and streamlining the onboarding of new developers to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content delivery networks (CDNs)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loading speeds, enhancing user engagement and reducing churn rates through improved interface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full ownership of system performance monitoring,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bottlenecks in application performance before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including sprint planning and retrospectives, advocating for the needs of the development team and aligning product goals with engineering capabilities for efficient workload distribution.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mentorship programs within the organization, guiding junior developers and sharing knowledge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and design of full-stack applications, ensuring scalability and maintainability while meeting the timeline of cross-team objectives for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analytics tools that allowed for easier adaptation of features based on user data, enhancing the platform's responsiveness to market demands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retrospective meetings focusing on code quality and testing practices, instilling a development culture that prioritizes maintainability and fosters collective ownership of code health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reusable components and libraries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positioning the company as a thought leader in the 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customization and reducing deployment times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wide array of performance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application health and determining essential improvements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Introducted and maintained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and reducing integration issues across all engineering teams while maintaining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facilitating seamless communication and enhanced functionality within the product ecosystem, boosting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emerging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automate backend responses and enhance service efficiency, resulting in increased satisfaction among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teams on the backend systems and developed onboarding materials to facilitate smoother transitions for new developers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measures across applications by implementing best practices and utilizing frameworks dedicated to safeguarding against breaches, including OWASP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refine user interfaces based on analytics data and user feedback, ensuring iterative design improvements that align with customer expectations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understand market needs and participate in strategic planning sessions to align technology and capabilities with business goals, resulting in successful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API design and development, enhancing data interchange standards allowing different components of the architecture to communicate more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backend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each service remains autonomous, reliable, and scalable, directly correlating to performance metrics that benefit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ensure project adherence to industry best practices and technical specifications, fostering a collaborative approach that prioritizes shared learning and continuous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