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results-oriented Principal Technical Program Manager with 11 years of experience in software development, specializing in web and mobile applications. Proven track record in shaping strategy, coordinating initiatives, and aligning stakeholders across multiple technical domains. Possesses strong abilities in architecture and integration with significant experience in CRM, Billing, and Automation tools that drive operational excellence and business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Angular, React, Node.js,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AWS, Azure DevOps, Docker, Kubernetes,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Systems:</w:t>
      </w:r>
      <w:r w:rsidRPr="009C6822">
        <w:rPr>
          <w:rFonts w:ascii="Roboto Light" w:eastAsia="Roboto Light" w:hAnsi="Roboto Light" w:cs="Roboto Light"/>
          <w:sz w:val="20"/>
          <w:szCs w:val="20"/>
        </w:rPr>
        <w:t xml:space="preserve"> CRM Systems, Billing and Payments Systems, Logistics Management Tools, Automation Tools, Marketing Technologies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execute technical strategies that align with business goals, ensuring stakeholder engagement and proactive risk management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architecture and implementation of integrated platforms, employing best practices to enhance scalability and reliability across diverse engineering teams and systems within Material Bank.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initiatives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billing solutions, and logistics systems, balancing both technical constraints and business objectives to foster scalable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alignment meetings between engineering and business teams to track project progress, ensuring outcomes were prioritized over mere timelines, thereby enhancing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processes to streamline workflows across multiple teams, significantly increasing productivity and delivering projects on time without compromising quality or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technological options and integrated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communication, collaboration, and visibility of technical decisions among all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success criteria for initiatives through strategic assessment of project scopes and resources, ensuring that all deliverables aligned with long-term business objectives and technical health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interdependencies amongst multiple workstreams, identifying integration challenges early and leading risk mitigation strategies to ensure seamless execution of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refined documentation of technical strategies while maintaining focus on future scalability, security, and reliability in continuously changing landscapes of the technical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vendors and partners to evaluate technology choices that aligned with strategic goals, fostering strong relationships that facilitated seamless collaboration across all efforts in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limited resource management to reduce overhead costs associated with project delivery, enabling the reallocation of budgets towards innovative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communication abilities to translate complex technical concepts into digestible information for non-technical stakeholders, ensuring consistent understanding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of continuous improvement, cultivating a culture of innovation and agility through workshops and training focused on emerging trends and technologies affecting the architecture and design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impactful presentations to executive leadership that elucidated project outcomes, technological strategies, and long-term business implications of initiatives, garnering support and investment for future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mentoring junior team members, sharing best practices, and encouraging a culture of knowledge sharing to enhance overall team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engineers in developing high-performance,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that both functionality and user experience were prioritized in the design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that allowed for seamless interaction between the frontend and backend, enhancing the overall efficiency of applications and reducing load times substantially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cross-platform application development efforts that 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modernize existing systems, significantly improving user satisfaction and operational effectiveness across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problem-solving and analytical skills to troubleshoot and debug complex issues within applications, leading to improved performance and reliability as well as reduced downtime for all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employed CI/CD pipelines to promote smooth deployments and continuous integration of code, fostering a culture of rapid development and delivery among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methodologies, facilitating daily stand-ups and sprint planning meetings that kept projects on track and enhanced team communication and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map requirements and user stories to technical tasks, ensuring all development efforts aligned with strategic business objectives and user-centric design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globally, enhancing accessibility and performance for users across geographical boundaries while adhering to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code deployments met high-quality standards before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microservices architecture, which enhanced the modularity of applications and allowed for more agile responses to business needs and market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for junior engineers on best development practices, fostering a culture of continuous improvement and knowledge sharing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code and architectural decisions, promoting transparency and knowledge transfer among all team members in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