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Principal AI/ML Architect with 11 years of experience in software development focusing on web and mobile applications. Proven track record in leading architectural strategies and delivering complex AI/ML systems in client-facing roles. Expertise in Python, TensorFlow, and MLOps, driving innovation in machine learning solutions across various industries.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C++, JavaScript, R, SQL, Scala,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LightGBM, CatBoost, Scikit-learn, Keras, FastAPI, XGBoost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MLFlow, Kubeflow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Hadoop, Apache Kafka, Pandas, NumPy, Dask, Elasticsearch,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Systems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LangChain, LangGraph, RAG, Multi-Agent Systems, Recommender Systems, Decision Support Systems, Agent-Based Modeling, Learning to Rank (LTR)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architectural design and deployment of high-performance AI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river-based frameworks, ensuring scalability and robustness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primary technical point of contact for clients, translating complex machine learning concepts into actionable strategies that align with business objectives and enhance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a team of talented ML engineers, fostering a culture of innovation and excellence while mentoring members on advanced topics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real-time data processing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managed the lifecycle of AI solutions, from inception to deployment, leveraging a combination of agile methodologies and DevOps practices to streamline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refined agentic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solutions adapt dynamically to changing business requirements and deliver actionable insights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collaboration between technical teams and clients, ensuring all parties were aligned on project goals and technical specifications through effective communication and expectation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implementation of low-latency recommender systems and high-performance search solutions, leveraging industry best practices and modern engineering principles to deliver cutting-edge results.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exploratory data analysis and developed predictive models utilizing techniques from both statistical methods and modern machine learning practices to inform business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cloud-based strategies employing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performance scalability and allow seamless data workflows across regional teams and remote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complex decision-support tools specifically tailored for high-stakes applications in healthcare and finance, emphasizing the importance of reliability and efficiency in AI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deployment and scalability across diverse environments linked to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successful project outcomes by orchestrating strategies that included both emerging technologies and established patterns to maximize business impact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 by evaluating contemporary AI paradigms and translating them into practical solutions that enhance operational performance and deliver significant market advantage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architecture, ensuring continuous professional development and fostering talent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on emerging AI technologies and industry trends, facilitating continuous improvement in project methodologies and delivering cutting-edge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enterprise-level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integration with advanced machine learning algorithms for enhanced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deliver high-quality software solutions on time and within budget, leveraging Agile methodologies for effective sprint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microservices architecture that integrates various data sources and APIs, increasing software resilience and facilitating enhanced data analysis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real-time data processing and machine learning model training, improving analytics capabilities and operational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optimization of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efficient data storage and retrieval processes tailored to application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ensured compliance with industry standards throughout the software development lifecycle, enhancing system safety and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with clients to define tailored solutions that align with core business needs, effectively bridging the gap between technical feasibility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algorithms tailored to specific customer requirements, leveraging both traditional machine learning approaches and modern deep learning techniques to enhance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system configurations and deployment frameworks, collaborating closely with DevOps teams to improve application uptime and reduce deployment failures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conducted performance evaluations to ensure software excellence and adherence to best programming practices across various engineering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applications and architecture components, ensuring clarity and transparency for both technical and non-technical stakeholders involved in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aimed at fostering a culture of continuous improvement and technological advancement among engineering staff and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