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cloud engineering, AWS architectures, and full-stack development for web and mobile applications. Proven track record in leading enterprise modernization, delivering IaC solutions, and ensuring high-performance standards in dynamic environments. Adept at collaborating with cross-functional teams to drive architectural transformations and establish best practices in DevOps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.NET Core,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Dynatrace, Prometheus, Grafana, OpenAPI,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migrating legacy systems to modern, serverless environments while ensuring compliance with security and operational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and scalability across all production environments through robust automation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ensuring seamless integration within development cycles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application teams to modernize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integrating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service delivery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reviews and documentation for best practices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compliance concerns and evolving industry standards through proactive threat modeling and remediation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improvement and collaboration within cross-functional teams focused on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health monitoring and providing insights into performance bottlenecks during application lifecycle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operational excellence initiatives, participating actively in incident response and root cause analysis to improve platform reliability and user experience in a hands-on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established reference architectures for cloud-based solutions,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patterns for greater agility and resilience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change management processes within the organization, focusing on incident, change, and problem management to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enhancing team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operational patterns and platform standards, solidifying the foundational architecture for future cloud migrations and modernization initiatives across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and vendors to curate well-rounded application architectures, addressing critical areas such as networking and security compliance in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pragmatic business continuity and disaster recovery strategies aligned with enterprise objectives, ensuring resilience during unexpected disruptions and maintaining service availability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driving the cloud maturity of the organization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underpinning architectural decisions with data-driven metrics and community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team skill sets and ensuring uniform knowledge distribution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to meet high demand while maintaining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specifications for applications, facilitating strong alignment between technical capabilities and business outcomes, ultimately driving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robust infrastructure practices and deployment strategies, ensuring high availability and efficient service-oriented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redefine CI/CD practices, integrating multiple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 and enhance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providing input for sprint planning, retrospective discussions, and backlog refinement, building consensus on key priorities and project directions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alerting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observability, effectively reducing mean time to resolution (MTTR) and improving application reliability through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problem-solving scenarios by troubleshooting production issues, utilizing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drive timely and effective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 interface improvements by implementing performance metrics and executing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 while validating functional requirements against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documented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endpoints while adhering to established standards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modernization initiatives by implementing microservices architecture patterns, which included defining key interfaces and governance within application ecosystems, enhancing modularity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wider engineering teams to ensure alignment on technology selections and tools, actively evaluating new technologies to incorporate innovative solutions and best practices on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presenting findings and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best protocols within collaborative cross-engineering team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