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and innovative blockchain professional with over 11 years of experience in software development, specializing in web and mobile applications. Proven expertise in tokenization, smart contracts, and leading cross-functional teams to achieve strategic objectives. Committed to leveraging technology to redefine industry standards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Hyperledger Fabric, Bitcoin, Solidity, Smart Contracts, IPFS, Web3.js, Truffle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C++, Go, Rust, Java,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Django, Flask, Spring Boot,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KYC, AML, GDPR, OWASP, Cryptography, Digital Identity, Smart Contract Auditing, Security Tokens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Data Analysis, BigQuery, Data Warehousing, Blockchain Data Structures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strategic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at iVision, defining the architecture for blockchain-based applications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ecosystem efficiency and user trust while complying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multiple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token-based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integration with existing financial systems and facilitating seamless transitions for clients into blockchain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cross-disciplinary teams, fostering collaboration between engineers, regulatory advisors, and external partners to ensure that project timelines were met while adhering to compliance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for staff, promoting understanding of emerging trends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which significantly enhanced team capabilities and project innovation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automated tools to identify vulnerabilities and ensure greater security in blockchain implementations, thereby reducing potential risks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partnerships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custodians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blockchain solutions met compliance requirements in heavily regulated industries such as finance and automotive, leading to successful project validations.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evaluated relevant protocols to enhance data protection, ensuring that iVision’s protocols remained at the forefront of industry best practices and compliance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explore new use cases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company to delve deep into luxury asset financing, especially in the automotive sector, and innovate new revenue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reports and dashboards on project progress, implementing data-driven insights to continuously refine strategies for token-based product marketing and development, enhancing overall business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agile methodologies into the development processes, fostering a culture of adaptability and continuous improvement which was crucial in managing evolving blockchain technologies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the company's offerings in luxury asset financing, positioning iVision as a competitive player in the emerging blockchain market with innovative financial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technical roadmaps with business objectives, ensuring that tokenization projects directly supported long-term growth strategies and provided significant returns on investment for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ethical considerations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that all product developments prioritized user privacy and security, complying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enhance public perception of blockchain initiatives, crafting narratives that articulated the value of token-based financing solutions for luxury assets in easily understandable terms.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the development process through feedback loops and refined workflows, ultimately building a more efficient and responsive blockchain division with a focus on scalability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tackling complex algorithm challenges and developing high-performance applications while ensuring optimal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evolving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user-centric designs that improved interaction rates significantly through intuitive interfaces and responsive components developed in modular code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efficient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high-performance systems that handle thousands of transactions per second while ensuring compliance with internal security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enabling seamless data exchange across platforms and ensuring reliable communication between backend systems and client applications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peer engineers in an agile environment to identify and implement optimizations in existing applications, receiving positive feedback from users for improved response times and reduced loading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tests for components and services focusing on maintainability and performance, using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code quality and reduced the time taken for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for both frontend and backend developments, fostering a culture of quality and shared knowledge which contributed to the enhancement of project deliverables and team growth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architectures utilizing cloud platforms, facilitating improved reliability and scalability, thus preparing the projects for future expansion and integration with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product managers and UI/UX designers to ensure development aligned with business needs and user expectations, yielding functionalities that propelled user engagement and acceptance in target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analyzing and optimizing existing algorithms for efficiency, contributing to Google’s core product enhancements that facilitated faster data processing and improved service delivery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variety of coding challenges aimed at improving problem-solving skills, which were made available internally for all associates, fostering an environment of learning and continuous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advocate for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from industry trends which encouraged Google to explore strategic expansions into decentralized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