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Expert in JavaScript frontends, cloud-native architectures, and e-commerce solutions, with a proven ability to lead architectural visions and collaborate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GraphQL,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 Framework,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Amazon RDS,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vision for enterprise-scale digital experience platforms, continuously evolving high-traffic websites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ensuring alignment with business objectives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modernization of web platforms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and secure digital commerce solutions, optimizing for both performance and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governance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interconnected various data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marketing tools, ensuring flexibility and extensibility for future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teams in agile settings, mentoring senior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Leads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improving project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architectural standards across frontend and backend teams,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resilient and responsive applications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key decisions on build vs. buy vs. partner strategies for digital stack components, meticulously weighing considerations of speed, cost, and long-term impact on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stakeholder communications, delivering insights about architectural trade-offs, risks, and optimization avenues, enhancing overall transparency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in web platform redesigns by implementing best practices and ensuring compliance with web standards, driving higher engagement and usability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innovative technologies within engineering teams,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handling processes while maintaining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range of engineering talent, fostering an environment of continuous learning and knowledge sharing that ultimately boosted team cohesion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architectural reviews and code assessments, upholding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observability, and performance optimization throughout the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active role in shaping project roadmaps, translating complex architectural requirements into actionable plans that deliver on strategic objectives and customer promise.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architectural improvements, ensuring that platforms remain modern, competitive, and aligned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across various business units including marketing and content teams, integrating their requirements into architectural designs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technical delivery outcomes across distributed teams, streamlining schedules, and enhancing capacity planning tools within the organization to minimize risk and maximize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usability, while leading a team in adopting agile methodologies that improved project turnovers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integrated with various backend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application data and enhancing the user experience across several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architecture discussions aimed at aligning development processes with user needs and market trends, ensuring that technology directions support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educate team members and stakeholders on the R&amp;D of emerging technologies, including potential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personalization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digital 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transitioning legacy system designs to microservices architectures, focusing on scalability, redundancy, and disaster recovery strategies that are vital for maintaining uptime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