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building robust web and mobile applications. Proficient in Python, React, and cloud technologies, with a strong emphasis on developing scalable solutions and operationalizing AI/ML capabilities. Known for driving complex architectural decisions and fostering team collaboration to meet business goals while also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HTML, CSS,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(Lambda, S3, DynamoDB), Azure, GCP,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Webpack, Visual Studio,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 complex multi-platform application, significantly enhancing user engagement and retention through innovative UI experiences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functional applications, ensuring effective communication and aligning technical solutions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ingestion and processing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high-volume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software delivery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consumed by client applications,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emphasizing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to derive insights, enhancing product capabilities and addressing client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executed a project to improve system performance metrics, leveraging profiling tools to identify bottlenecks in existing architectures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coding standards among the team to ensure quality deliverables and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sprint planning and retrospectives to continually improve team velocity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diversity and inclusion within the tech team, making pivotal changes to hiring practices that resulted in a more inclusive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bundling and optimizing assets, improving load times of web applications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present technical solutions, translating complex technical jargon into actionable business insights as per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both system architecture and API specifications, enabling easy onboarding of new team members and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 to ensure maintainability and enhance user experience, implementing best practices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range of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coding, testing, and deploying software solutions that enhance user experiences and facilitate higher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implemented for seamless user experiences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produce high-fidelity prototypes, contributing to the development of user-centered designs that exceed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databases,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for various applications, ensuring data integrity and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services, ensuring proper API design and documentation for easy consumption by front-end client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team activities including stand-ups and retrospectives, fostering an environment of open feedback and continuous improvement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tests, significantly increasing code coverage and reducing bug rates before deployment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efforts to migrate legacy systems to cloud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elasticity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enhancing deployment efficiency and simplifying project dependencies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code review process, ensuring that all code maintained established coding standards and was free from critical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an emphasis on accessibility and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activities with internship programs, providing guidance and knowledge sharing to foster the next generation of software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