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Analytics Engineer with 11 years of software development experience, specializing in analytics, web, and mobile applications. Proficient in developing and maintaining analytics platforms using industry-standard tools. Strong background in JavaScript, TypeScript, and marketing technologies, skilled at engaging in cross-team collaborations to deliver impactful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SQL,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Cypress, Playwright,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Marketing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Adobe Analytics, Tealium Tag Manager, Transcend Consent Manager, TrustArc Website Monitoring Manager, Epsilon, Trade Desk, Meta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Mocha, Chai, Selenium, Postman, WebDriver, Fiddler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Git, Bitbucket,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maintainable analytics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collection and reporting capabilities across various internal and 3rd party platforms while optimizing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engineering teams to modernize existing data collection implementations and generate documentation, ensuring clear understanding of processes and enabling more effective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designed automated unit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feature reliability and minimizing the introduction of bugs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of existing implementations to identify and refactor opportunities,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team guidelines and quality standards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on-call support rotation, ensuring high availability of production services and maintaining a deep understanding of system functionality to swiftly resolve any incidents or challenges that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platform administrator for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insights to advocate for feature enhancements and operational improvements directly with vendor stakeholders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interpreting key platform metrics, facilitating actionable insights from analytics data, which drove strategic decisions within cross-functional teams focused on delivering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team members to enhance workflows and coding practices, modeling proper software engineering techniques and helping junior engineers assimilate necessary knowledge and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software libraries focusing on reusability and developer experience,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improved the overall efficiency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actively contributed to defining technical specifications for features, championing a user-centric approach to ensure that the final product met stakeholders'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performance issues throughout the full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request lifecycle, proving instrumental in enhancing service speed and efficiency across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platforms by recommending and executing appropriate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high-performing team culture, promoting open communication,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techniques, and driving inclusion of diverse perspectives during project brainstorming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industry trends related to analytics and development practices, ensuring that the application architecture reflected the latest innovations and optimizing for future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documented technology stack decisions, discussing the impact of design choices with the team and stakeholders to cultivate transparency and foster collaboration, enhancing project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