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Ad Tech &amp; Media Solutions Engineer with 11 years of experience in software development, specializing in web and mobile applications within the AdTech sector. Proven ability to bridge technical and product teams to drive campaign success and optimize ad solutions. Extensive experience in backend integrations and troubleshooting across various platforms, ensuring seamless execution and measurable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HTML, CSS,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Vue.js, Django, Flask, jQuery,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 Tech Tools:</w:t>
      </w:r>
      <w:r w:rsidRPr="009C6822">
        <w:rPr>
          <w:rFonts w:ascii="Roboto Light" w:eastAsia="Roboto Light" w:hAnsi="Roboto Light" w:cs="Roboto Light"/>
          <w:sz w:val="20"/>
          <w:szCs w:val="20"/>
        </w:rPr>
        <w:t xml:space="preserve"> Google Ad Manager, DoubleClick, AdRoll, Adobe Analytics, Hootsuite, Tableau, Marketo,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SOAP, GraphQL, Webhooks, SDK, Tag Manager, OpenAPI,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BigQuery, Snowflake, Pandas, NumPy, Apache Kafka, Airflow,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onboarding and integration of ad tech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pixels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for improved client implementation, thus enhancing campaign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delivery, measurement, and data-flow issues across multiple DSPs and SSPs, ensuring operational integrity and maximizing client satisfaction in campaign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workflows for technical support, resulting in scalable documentation solutions that improved the efficiency of onboarding new ad tech clients by leveraging existing resources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consultative guidance on programmatic best practices and identity solutions, helping clients navigate complex digital advertising landscapes and enhancing their strategic approach to ad placements.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measurement and data analysis, providing actionable insights to clients for optimizing ad campaigns across various platforms, resulting in demonstrable gains in campaign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campaign performance metrics, identifying trends and recommending adjustments to enhance overall campaign effectiveness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the integration of ad tech solutions, fostering a collaborative team environment conducive to learning and innovation in technical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ad technologies and market trends, adapting strategies accordingly to maintain competitive edge in a rapidly evolving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routine audits on ad tech infrastructure, establishing protocols for continuous improvement and ensuring alignment with established industry standards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relationships by delivering tailored solutions to complex problems, enhancing trust and communication which strengthened partnerships and resulted in high renewal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sales, product management, and engineering teams to drive customer success by translating technical specifications into actionable project plans, ensuring alignment and feasibility prior to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Scaffolded responsive web pages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functionality across multiple devices and enhancing user engagement, thereby maximizing client return on investment.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tracking setups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insights into user behavior and campaign effectiveness, directly influencing client strategies and advertising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integration processes leading to successful handoffs and implementations, which significantly raised operational efficiency and reduced onboarding time for new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up to 40% travel to client sites for hands-on integration support, bringing a valuable perspective to on-the-ground issues and strengthening client trust through direct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user experience through efficient coding and design principles appropriate for the application’s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prioritize and resolve technical issues,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continuous integration and deployment practices that improved team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seamless integration with third-party services, greatly simplifying data communication and management within application architectures that elevated overall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enhancing advertising capabilities and driving revenue growth through improved ad targeting and performance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data extraction, effectively collaborating with data science teams to enhance decision-making processes and informing the advertising strategy of our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curriculum development for internal engineering training tailored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best practices in component architecture and state management, ensuring high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that increased release quality while significantly reducing delivery timelines for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microservices architecture, enhancing modularity and scalability of applications, allowing for more efficient resource use and simplified maintenance across all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targeting the full stack of applications, employing profiling and benchmarking tools to ensure responsiveness and efficiency, exceeding user expectations and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direction on project scope and timeline, effectively managing expectations with stakeholders to ensure project deliverables met business objectives and technical specifications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across applications by implementing best practices in data handling and encryption, which improved the resilience of the applications against cyber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business and technical stakeholders, communicating effectively to translate project objectives into actionable technical steps that ensured stakeholder satisfaction and project alignment.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