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specializing in AI systems, backend development, and cybersecurity applications. Proven ability to lead innovative projects and mentor engineering teams, focusing on scalable solutions in high-paced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Machine Learning, Natural Language Processing, Deep Learning,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FastAPI,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Docker, Kubernetes, AWS, Azure,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Data Handling:</w:t>
      </w:r>
      <w:r w:rsidRPr="009C6822">
        <w:rPr>
          <w:rFonts w:ascii="Roboto Light" w:eastAsia="Roboto Light" w:hAnsi="Roboto Light" w:cs="Roboto Light"/>
          <w:sz w:val="20"/>
          <w:szCs w:val="20"/>
        </w:rPr>
        <w:t xml:space="preserve"> REST, GraphQL, SQL, NoSQL,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Optimization:</w:t>
      </w:r>
      <w:r w:rsidRPr="009C6822">
        <w:rPr>
          <w:rFonts w:ascii="Roboto Light" w:eastAsia="Roboto Light" w:hAnsi="Roboto Light" w:cs="Roboto Light"/>
          <w:sz w:val="20"/>
          <w:szCs w:val="20"/>
        </w:rPr>
        <w:t xml:space="preserve"> Prometheus, Grafana, ELK Stack, DataDog,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designed complex AI architectures for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exposure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high system reliability under varying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diverse team of engineers, establishing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architectural guidelines which significantly improved the overall code quality and fostered a culture of continuous learning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production-level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embedded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evaluation, prompt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executive leadership to translate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trade-offs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understandable narratives, enhancing decision-making across various business units in a rapidly evolving product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deployed AI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preemptively identify and address performance bottlenecks and optimize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open-source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hosted 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negotiating with vendors to reduce operational costs while enhancing functionality and performance across AI-driven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data ingestion pipelines that improved the robustness and scalability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crucial for downstream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response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where I contributed my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service availability and minimizing downtime of mission-critical systems in high-stakes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measures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safety guardrails in AI software, which improved the overall security of deployed systems and increased stakeholder confidence in our products' performance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cross-functional brainstorming sessions, contributing innovative ideas that shaped the future direction of our core AI products and ensured they met evolving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as a vital contributor to numerous successful product launches through accurate forecasting of technical challenges and strategic risk management, underscoring my proactive approach to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designs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complex, high-traffic applications, ensuring high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runtime 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minimizing latency through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operability by conducting thorough evaluations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suggesting performance tuning measures that resulted in improved end-user experience and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noteworthy cultural shift within the team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aggressive innovation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rallying team members around shared goals and fostering an environment conducive to creative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training sessions for junior engineers,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latest trends in software development, specifically targeting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it relates to cybersecurity.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focusing on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which effectively improved the team’s productivity and reduced time-to-market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AI-based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enhanced user engagement by transforming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digestible outputs, useful for non-technical stakeholders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projects involving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our development processes and facilitated quicker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partnerships with engineering teams to ensure best standards were applied during system integrations, enhancing data flow and operational consistency across multiple project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pipelines by developing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availability for downstream applications and as a service to other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usability testing initiatives for newly integrated features, closely monitoring user interactions and utilizing feedback to drive iterative improvements on existing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through the establishment of regular knowledge sharing sessions focused on evolving technology landscapes, continual learning, and emerging trends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realm.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seamless data interactions, ensuring compatibility across multiple platforms while adhering to best practices in software design and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 and monitoring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eased debugging processes, enabling faster resolutions of issues in deployed applications and significantly reducing incident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technical documentation that not only detailed implementation strategies but also included lessons learned, setting a benchmark for future documentation processes in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traditional applications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efficiency and scalability while reducing operational overheads associated with maintaining legacy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excellence and ensuring adherence to best practices with an emphasis on both security and performance optimizations.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