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UI/UX and 508 Developer with over 11 years of experience in software development, specializing in web and mobile applications. Expertise in creating user-centered designs, ensuring accessibility compliance, and collaborating with cross-functional teams. Proficient in modern front-end technologies and frameworks, with a strong commitment to delivering high-quality, accessible digital solutions that meet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Backbone.js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Balsamiq, Axure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Axe, WAVE, JAWS, NVDA, VoiceOver, Screen Reader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UX/UI Design, User Research, Usability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Section 508, WCAG 2.1, ADA, ISO 9241, A11Y Best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flows, wireframes, mockups, and prototypes while collaborating with cross-functional teams to ensure all designs reflect user needs and adhere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user research and usability testing sessions, utilizing findings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effectiveness of the digital products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project requirements into clean, responsive front-end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adherence to established style guides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standards compliance for all user interfaces, specifically targeting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2.1 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ADA requirements to serve all users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pattern libraries and style guides to ensure design consistency across multiple projects while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standards-based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QA teams throughout the SDLC to ensure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requirements were fully met, quickly addressing identified issues where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accessibility findings and remediation actions taken, supporting the creation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VPAT/ACR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when required.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reviews and accessibility audits, fostering an environment of continuous improvement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regularly to refine design concepts and validate project requirements through iterative feedback loops and design critiques.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 to innovate user interfaces that enhance usability and engagement across target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designers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shared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digital interfaces for performance and accessibility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areas needing enhancement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in front-end development contributing to a more streamlined workflow that improved overall product output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front-end techniques and tools to build intuitive and responsive user experiences across various platforms, enhancing my team's delivery capabilities,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workshops aimed at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design and development process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versatile user interfaces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modern front-end frameworks, enhancing user engagement and satisfaction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user feedback systematically into design processes, employing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collaborated with Design and Development teams ensuring that all software solutions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 an inclusive experience for all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thorough understanding of compliance standards to effectively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across the projects undertaken, ensuring thorough adherence to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VoiceOver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the compatibility of interfaces with assistive technologies and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