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focusing on web and mobile applications. Proven expertise in developing simulations for advanced monitoring controls and a strong foundation in power systems and synchrophasor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MATLAB,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PSS/E, PSCAD, MATLAB/Simulink, ANSYS, LTspice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SciPy, NumPy,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OpenShift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complex simulation models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PMU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wide area grid monitoring,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PSS/E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PSCAD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analyze grid dynamics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analysis and visualization, enabling improved decision-making in grid monitoring and control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electromechanical 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project requirements were consistently met to high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synchrophasor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assessing its impact on modern power systems, contributing valuable insights that shaped product development strategies and implementation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strong competencies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for developing software tools that support advanced monitoring and control, optimizing overall system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high-level simulations for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solar and wind inverter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current industry trends towards renewable energy integration in grids.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regular reports and presentations on simulation results to stakeholders, translating complex technical data into accessible information for decision-makers.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team meetings, emphasizing adaptability and effective communication to enhance project workflow and collaboration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validation of models against real-world data, achieving a seamless alignment of simulated results with observed operational behaviors.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new technologies and tools related to electrical engineering and power systems, promoting an innovative culture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software solutions for large-scale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experiences and performance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and frontend development tasks, ensuring high scalability and maintainability of applications in various projects throughout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automating deployment processes, and substantially reducing operational overhead across multiple software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integrate responsive design principles that resulted in user-friendly web interfaces,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promoting best practices and ensuring code quality through detailed assessments and collaborative feedback sessions with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and optimized system performance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establishing a structured process for code management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and resolving issues in existing code, applying analytical skills to identify root causes and implement corrective actions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best coding practices and tools usage, fostering a collaborative and educational environment within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cross-team projects, facilitating knowledge sharing and problem-solving workshops that enhanced team cohesion and accelerated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requirement documentation to ensure alignment with client specifications, contributing to successful software product deliveries and enhanced customer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