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web and mobile applications. Proven track record in leading technical direction, fostering collaboration, and driving architectural standards for high-performance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Ruby, ASP.NET,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Next.js, React, Ruby on Rails, Django, Flask,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EC2, ElastiCache, SNS, SQS,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Oracle, Query Optimization,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Kibana, Grafana, Prometheus, Logstash, ElasticSearch, Application Insights,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creating microservices architecture that enhanced reliability and performance,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operational efficiency across multiple applications and services within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service design standards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relational data modeling, ensuring all engineering practices align with industry best standards and promote system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leaders to translate complex, ambiguous requirements into clear, actionable architecture strategies, crafting comprehensive technical plans that facilitate effective communication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collaborative design sessions, fostering an environment of continuous learning while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logging and monitoring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insights into concrete improvements—boosting operational visibility and troubleshooting efficiency within the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technical processes by balancing immediate project demands with long-term structural integrity, minimizing risk while maximizing overall system robustness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microservices patterns that significantly reduced complexity while ensuring services maintain high availability and can adapt to growing business needs and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code reviews and collaborative solutions development, focusing on improving performance and reliability across multiple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 trends within the software development process to keep in alignment with innovative engineering practices, maintaining a competitive edge through proactive technology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cross-team engineers to ensure coherent technical execution, bridging gaps between backend services and web technologies, enhancing overall service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emerging technologies for potential integration into existing systems, guiding architectural evolution to enhance capacity for future growth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integration and delivery (CI/CD) practices within teams, improving deployment frequency and reducing lead time for changes while maintaining high standards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adaptability and innovation, leading discussions on the application of new technologies and methodologies to maximize team effectiveness and deliverable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reducing technical debt through strategic refactoring initiatives, ensuring that legacy systems evolve into scalable, maintainable solutions that can meet future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practices, improving team competency in managing backend systems and services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backend systems for multiple applications, ensuring reliability and performance across varying product lines while adhering to architectural standards that optimize for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requirements, utilizing agile methodologies to enhance software delivery timelines while improving product quality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production, inspiring teams to adopt best practices in extensibility and service-oriented architecture for enhanced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infrastructure deployments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operational excellence and security best practices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service architectures, ensuring clarity for onboarding new engineers and providing thorough references for ongoing system management and troubleshooting interventions.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cross-functional architectural reviews to ensure comprehensive oversight and alignment, leading to improvements in code deployments and reducing potential conflicts within the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across diverse applications by analyzing system logs and metrics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actionable improvements and enhanced user experiences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fine-tuned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identifying and resolving performance bottlenecks, aiding in long-term stability and reliability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significant architectural discussions, leveraging firsthand experiences to propose viable solutions that balance technical feasibility with strategic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quality assurance to embed testing and verification into CI/CD pipelines, establishing robust quality gates that improved overall software integrity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software engineers in design and architecture discussions, elevating team capabilities and knowledge related to cloud technologies and effective service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sessions to explore new technologies and their feasibility, encouraging teams to think outside the box in approaching engineering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