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Renowned for shaping technical direction, mentoring teams, and driving impactful engineering initiatives across distributed systems. Excels in event-driven architectures, leading cross-team initiatives, and enhancing communication within the engineering culture, all while promoting reliability and scalability of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C#,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GraphQL, REST,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Google Cloud,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NATS, RabbitMQ, Redis, ActiveMQ, EventBridge, WebSockets, MQTT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New Relic, Datadog, ELK Stack, Splunk, Sentry,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scalable,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performance and reliability, propelling cross-team collaboration and introducing robust </w:t>
      </w:r>
      <w:r w:rsidRPr="00106EA3">
        <w:rPr>
          <w:rFonts w:ascii="Roboto Light" w:eastAsia="Roboto Light" w:hAnsi="Roboto Light" w:cs="Roboto Light"/>
          <w:b/>
          <w:bCs/>
          <w:sz w:val="20"/>
          <w:szCs w:val="20"/>
        </w:rPr>
        <w:t xml:space="preserve">message queuing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better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architectural improvements by mentoring software engineers across various teams, focusing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code quality, operational excellence, and introducing clear technical documentation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major engineering initiatives by aligning technical solutions with business strategies, leading to increased stakeholder satisfaction through timely and effective project completions while maintaining a focus on team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strong </w:t>
      </w:r>
      <w:r w:rsidRPr="00106EA3">
        <w:rPr>
          <w:rFonts w:ascii="Roboto Light" w:eastAsia="Roboto Light" w:hAnsi="Roboto Light" w:cs="Roboto Light"/>
          <w:b/>
          <w:bCs/>
          <w:sz w:val="20"/>
          <w:szCs w:val="20"/>
        </w:rPr>
        <w:t xml:space="preserve">engineering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workshops and knowledge-sharing sessions, ensuring clarity in communication and reinforcing </w:t>
      </w:r>
      <w:r w:rsidRPr="00106EA3">
        <w:rPr>
          <w:rFonts w:ascii="Roboto Light" w:eastAsia="Roboto Light" w:hAnsi="Roboto Light" w:cs="Roboto Light"/>
          <w:b/>
          <w:bCs/>
          <w:sz w:val="20"/>
          <w:szCs w:val="20"/>
        </w:rPr>
        <w:t xml:space="preserve">technical leadership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everyday engineering practices and team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enabled faster iterations and improved deployment efficiencies, ultimately resulting in significant enhancements in </w:t>
      </w:r>
      <w:r w:rsidRPr="00106EA3">
        <w:rPr>
          <w:rFonts w:ascii="Roboto Light" w:eastAsia="Roboto Light" w:hAnsi="Roboto Light" w:cs="Roboto Light"/>
          <w:b/>
          <w:bCs/>
          <w:sz w:val="20"/>
          <w:szCs w:val="20"/>
        </w:rPr>
        <w:t xml:space="preserve">operational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observability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reliability and robustness of distributed systems by implementing sophisticated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enabling quick identification and resolution of systemic issues and improving overall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efficient collaboration practices by utilizing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among cross-functional teams, and driving successful delivery of high-impact projects through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shaping the development of secure, high-performance backend services by leveraging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strong partnerships between engineering and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evaluations of emerging technologies, providing insights that positively influenced decision-making processes for future architectural developments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utilized advanced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extend system capabilities, optimizing resource utilization and enhancing performance while ensuring alignment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through pair programming and code reviews, focusing on growth mindset principles and fostering a culture of continuous learning that elevated the overall skill level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 assessment frameworks that identified systemic vulnerabilities, aligning with industry standards for security and compliance, greatly contributing to enhanced operational integrity across developed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architecture reviews to ensure project objectives aligned with domain standards and industry trends, ensuring high scalability and maintainability of all projects initiated.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solutions to optimize existing processes, guiding teams on adopting agile practices and engaging in regular retrospectives that enhanced work dynamics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pinpoint critical issues and develop roadmaps for resolving them, ensuring that engineering initiatives corresponded directly with market demands and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scalable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industry best practices, significantly bolstering the effectiveness of team workflows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fostering collaboration across teams while working on diverse projects, establishing strong communication channels and documentation processes that focused on clarity and shared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key features for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ensuring systems delivered a consistent and reliable user experience through well-structured APIs and event-driven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that emphasized </w:t>
      </w:r>
      <w:r w:rsidRPr="00106EA3">
        <w:rPr>
          <w:rFonts w:ascii="Roboto Light" w:eastAsia="Roboto Light" w:hAnsi="Roboto Light" w:cs="Roboto Light"/>
          <w:b/>
          <w:bCs/>
          <w:sz w:val="20"/>
          <w:szCs w:val="20"/>
        </w:rPr>
        <w:t xml:space="preserve">programming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establishing a code-first mentality that not only improved code quality but also bolstered team confidence in writing robust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drastically reducing deployment times and increasing reliability through structured methodologies, ultimately streamlining workflows and team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system architectures by integrating modern </w:t>
      </w: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Docker and Kubernetes, optimizing development and operational efficiency, and paving the way for enhanced collaboration between engineering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quality by implementing continuous integration and continuous deployment strategies, which coupled with effective monitoring practices raised the bar for code quality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across applications to identify bottlenecks and implement optimizations, thereby improving user experience and solidifying relationships with stakeholders through transparent communication and sustained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promoting </w:t>
      </w:r>
      <w:r w:rsidRPr="00106EA3">
        <w:rPr>
          <w:rFonts w:ascii="Roboto Light" w:eastAsia="Roboto Light" w:hAnsi="Roboto Light" w:cs="Roboto Light"/>
          <w:b/>
          <w:bCs/>
          <w:sz w:val="20"/>
          <w:szCs w:val="20"/>
        </w:rPr>
        <w:t xml:space="preserve">professional growth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providing mentorship and driving initiatives that encouraged team members to engage in knowledge-sharing sessions aimed at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establishment of technical standards and architectural guidelines that shaped the foundational structure of large-scale applications, ensuring maintainability and scalability for future engineering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internal teams to identify technical opportunities and guide project requirements, aligning engineering endeavors with organizational business objectives while minimizing roadblocks to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highly dynamic environment where rapid prototyping sessions led to breakthrough product features, continuously pushing the limits of innovation within a collaborative atmosphere of shared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