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focusing on building scalable healthcare solutions. Proficient in React, Python, TypeScript, and various cloud services, with a passion for integrating AI tools to enhance productivity. Effective in cross-functional teams with an emphasis on customer-centric solutions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TypeScript, HTML5, CSS3,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Fastify, Python, FastAPI, Java,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Prisma, MySQL, BigQuery,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GCP, Azure, AWS,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xml:space="preserve"> FHIR, HL7, RESTful APIs, GraphQL APIs, Athena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LangGraph, Vertex AI, Langfuse, Claude, Codex, Gemini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and accessible components that enhance user experience in healthcare applications, fostering smoother patient care coordination.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backend services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and scalability of proprietary healthcare software tools utilized by clinicians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rapid data retrieval and processing of FHIR packages, ultimately benefitting patient management workflows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gather requirements and translate them into functional prototypes, demonstrating an agile approach to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processes and reduced downtime during updates for critical healthcare applications serving emergency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optimize serverless execution of critical backend functions, ensuring cost-effectiveness while maintaining high availability for demanding healthcare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tasks, crafting specific data visualizations that provide insight into patient statistics, enhancing decision-making for healthcare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 and processes for transparency and knowledge sharing within the team, ensuring seamless transitions and handovers among team members and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standards and agile methodologies, fostering a collaborative learning environment focused on continuous improvement and skill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paired programming sessions, cultivating an atmosphere of constructive feedback, which led to improved team performance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data-driven insights to enhance features based on user feedback and analytics, ensuring that our solutions are effectively addressing the challenges faced in patient care coordination.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technological changes and evolving healthcare regulations, demonstrating a strong capacity for learning and application of new technologies and standards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project updates to stakeholders, ensuring alignment with business goals and adapting technical delivery in response to feedback from the executive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cross-functional team projects, fostering collaboration between software engineering, data science, and healthcare professionals to bridge technological solutions with clinical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innovations by integrating machine learning capabilities, utilizing tools such as </w:t>
      </w:r>
      <w:r w:rsidRPr="00106EA3">
        <w:rPr>
          <w:rFonts w:ascii="Roboto Light" w:eastAsia="Roboto Light" w:hAnsi="Roboto Light" w:cs="Roboto Light"/>
          <w:b/>
          <w:bCs/>
          <w:sz w:val="20"/>
          <w:szCs w:val="20"/>
        </w:rPr>
        <w:t xml:space="preserve">Vertex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analytics that assist in patient care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solutions that improved user engagement and operational efficiency in corporate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deliver successful projects on time, honing agile project management skills in a fast-paced environment at renowned tech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web applications, ensuring compatibility across various devices and enhancing user experience by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procedures for web components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quicker deployment cycles and drastically reducing the number of defects in produced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cloud migration projects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configuration and deployment that ensured minimal service disruption during transitions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seamless front-to-backend integration of web applications, standardizing communication protocols across platforms, leading to enhanced data exchange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performance tuning and optimization of existing applications, demonstrating a methodical approach to identifying bottlenecks and implementing solutions for more scalable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engaging user interfaces focusing on UX/UI best practices, ensuring that applications satisfy client needs in various domains including marketing and sales.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create analytical dashboards that monitored application performance and usage metrics, informing decision-making and future development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and training material for end-users, enhancing overall product understanding and adoption post-deployment across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software engineering best practices, advocating for knowledge sharing sessions that elevated team capabilities and cohesion while driving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checks for security vulnerabilities within the applications, ensuring robust data protection measures were implemented in compliance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