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technology leader with over 11 years of experience in software development, specializing in Cloud solutions and SRE methodologies for scalable, efficient, and secure architecture in web and mobile applications. Proven ability to lead cross-team initiatives, enhance operational excellence, and mentor engineering teams to achieve high-quality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CloudFormation, Terraform,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Java, Bash, Ruby,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Storage:</w:t>
      </w:r>
      <w:r w:rsidRPr="00106EA3">
        <w:rPr>
          <w:rFonts w:ascii="Roboto Light" w:eastAsia="Roboto Light" w:hAnsi="Roboto Light" w:cs="Roboto Light"/>
          <w:sz w:val="20"/>
          <w:szCs w:val="20"/>
        </w:rPr>
        <w:t xml:space="preserve"> RDS, Aurora, Elasticsearch, S3, Glue, MongoDB, SQL,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GitHub Actions, Jenkins, CircleCI, Ansible, Prometheus, Grafana,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PCI, SOC2, ISO27001, IAM, WAF, Zero Trust, Incident Management, Security Auditing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optimizing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complex scalability and security needs while establishing best practices for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enhancing the platform's resilience through effective auto-scaling and performance tuning, and creating documentation for operational guidelines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improved rollback strategies, and reduced manual operational overhead, driving operational consistency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practices leveraging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improving incident response times and team efficiency through enhanced logging and monitoring capabilities integrated with alerting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technical architecture, emerging technologies, and operational best practices while fostering a culture of accountability and continuous improvement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self-service tooling that enabled developers to autonomously manage deployment and scaling within the </w:t>
      </w:r>
      <w:r w:rsidRPr="00106EA3">
        <w:rPr>
          <w:rFonts w:ascii="Roboto Light" w:eastAsia="Roboto Light" w:hAnsi="Roboto Light" w:cs="Roboto Light"/>
          <w:b/>
          <w:bCs/>
          <w:sz w:val="20"/>
          <w:szCs w:val="20"/>
        </w:rPr>
        <w:t xml:space="preserve">CloudOps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thereby reducing bottlenecks and enhancing overall operational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root-cause analysis of incidents, implementing systemic improvements that significantly increased reliability and user trust in cloud services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partnerships with key vendors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Cloudflare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platform availability and security posture remained robust during compliance audits and infrastructure upgrades.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appropriate libraries to automate operational workflows, enhancing team productivity while shifting CloudOps responsibilities from mere administration to strategic focus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across cross-functional teams, translating technical challenges into manageable initiatives aligning with organizational goals while setting clear expectations and fostering collaboration among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CloudOps team through the transformation into a service-oriented model that enhanced support responsiveness, thereby improving the relationship between CloudOps and software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disaster recovery planning initiatives that incorporated regular testing and evaluation of AWS services, ensuring business continuity and minimizing risk during unforeseen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effectiveness of incident management processes by advocating for a healthy on-call culture and optimizing escalation paths, which improved rcresponse and resolution times for critical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defined infrastructure vision and multi-quarter roadmaps with the Engineering leadership team, successfully executing strategies that align with business objectives and technical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driving cloud economics initiatives, embedding cost-to-serve metrics into architecture decisions, which directly influenced cloud resource optimization and financial planning.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high-availability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ecosystem that supported dynamic scalability and performance-driven architecture within a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testing and deployment processes that increased software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secure infrastructure for applications that require compliance with </w:t>
      </w:r>
      <w:r w:rsidRPr="00106EA3">
        <w:rPr>
          <w:rFonts w:ascii="Roboto Light" w:eastAsia="Roboto Light" w:hAnsi="Roboto Light" w:cs="Roboto Light"/>
          <w:b/>
          <w:bCs/>
          <w:sz w:val="20"/>
          <w:szCs w:val="20"/>
        </w:rPr>
        <w:t xml:space="preserve">PCI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regulatory standards and regular audit readiness checks.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observability using </w:t>
      </w:r>
      <w:r w:rsidRPr="00106EA3">
        <w:rPr>
          <w:rFonts w:ascii="Roboto Light" w:eastAsia="Roboto Light" w:hAnsi="Roboto Light" w:cs="Roboto Light"/>
          <w:b/>
          <w:bCs/>
          <w:sz w:val="20"/>
          <w:szCs w:val="20"/>
        </w:rPr>
        <w:t xml:space="preserve">Elastic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performance issues and system failures while improving data-driven decision-making processes for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sprint planning and retrospectives, applying agile methodologies to improve team efficiency and adaptability in meeting changing project requirements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through continuous performance tuning and resource scaling strategies, significantly enhancing system performance and cost management effectively leveraging </w:t>
      </w:r>
      <w:r w:rsidRPr="00106EA3">
        <w:rPr>
          <w:rFonts w:ascii="Roboto Light" w:eastAsia="Roboto Light" w:hAnsi="Roboto Light" w:cs="Roboto Light"/>
          <w:b/>
          <w:bCs/>
          <w:sz w:val="20"/>
          <w:szCs w:val="20"/>
        </w:rPr>
        <w:t xml:space="preserve">AWS Cost Explorer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systems architecture, processes, and workflows that served as a valuable reference for new and existing team members enhancing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 culture of engineering excellence through regular knowledge sharing sessions, code reviews, and infrastructure best practices discussions with team members leading to improved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automation scripts that streamlined operational tasks, contributing to the reduction of manual intervention by improving efficiency and accuracy in cloud resource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applications to collect and analyze incident data, utilizing the information to fine-tune alerting mechanisms and improve incident management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across departments to ensure smooth collaboration and streamlining of projects, addressing operational challenges effectively; aligned with corporate objectives to drive initiative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initiatives to improve application compliance within </w:t>
      </w:r>
      <w:r w:rsidRPr="00106EA3">
        <w:rPr>
          <w:rFonts w:ascii="Roboto Light" w:eastAsia="Roboto Light" w:hAnsi="Roboto Light" w:cs="Roboto Light"/>
          <w:b/>
          <w:bCs/>
          <w:sz w:val="20"/>
          <w:szCs w:val="20"/>
        </w:rPr>
        <w:t xml:space="preserve">ISO27001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collaborating with stakeholders in security, legal, and operations to achieve successful certification during audits.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