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Proven expertise in designing and deploying AI and machine learning models using cloud technologies and MLOps practices. Strong background in Python, Java, AWS, and CI/CD processes. Excellent collaborator with a history of delivering impactful software solutions that enhance business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 Go,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IBM Cloud, Oracle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Engineering:</w:t>
      </w:r>
      <w:r w:rsidRPr="00106EA3">
        <w:rPr>
          <w:rFonts w:ascii="Roboto Light" w:eastAsia="Roboto Light" w:hAnsi="Roboto Light" w:cs="Roboto Light"/>
          <w:sz w:val="20"/>
          <w:szCs w:val="20"/>
        </w:rPr>
        <w:t xml:space="preserve"> TensorFlow, PyTorch, Keras, SciKit-Learn, Hadoop, Spark, Airflow,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GitHub Actions, Terraform, CloudFormation,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Databases:</w:t>
      </w:r>
      <w:r w:rsidRPr="00106EA3">
        <w:rPr>
          <w:rFonts w:ascii="Roboto Light" w:eastAsia="Roboto Light" w:hAnsi="Roboto Light" w:cs="Roboto Light"/>
          <w:sz w:val="20"/>
          <w:szCs w:val="20"/>
        </w:rPr>
        <w:t xml:space="preserve"> Redshift, Snowflake, MySQL, PostgreSQL, MongoDB, HDFS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directly improved claims processing speed, focusing on creating scalable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streamlining operations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the functional requirements for machine learning models, promoting an agile culture and ensuring successful integration of new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pipelines for </w:t>
      </w:r>
      <w:r w:rsidRPr="00106EA3">
        <w:rPr>
          <w:rFonts w:ascii="Roboto Light" w:eastAsia="Roboto Light" w:hAnsi="Roboto Light" w:cs="Roboto Light"/>
          <w:b/>
          <w:bCs/>
          <w:sz w:val="20"/>
          <w:szCs w:val="20"/>
        </w:rPr>
        <w:t xml:space="preserve">claims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for machine learning services while adhering to best practices in software development and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deployed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operational standards and performance benchmarks while optimizing resource usage across multiple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junior engineers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frameworks for potential integration into current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fostering innovation and ensuring that the team remains competitive in the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ensuring timely access to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decision-makers within the </w:t>
      </w:r>
      <w:r w:rsidRPr="00106EA3">
        <w:rPr>
          <w:rFonts w:ascii="Roboto Light" w:eastAsia="Roboto Light" w:hAnsi="Roboto Light" w:cs="Roboto Light"/>
          <w:b/>
          <w:bCs/>
          <w:sz w:val="20"/>
          <w:szCs w:val="20"/>
        </w:rPr>
        <w:t xml:space="preserve">claims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leveraged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focusing on fraud detection and prevention measures, significantly enhancing the </w:t>
      </w:r>
      <w:r w:rsidRPr="00106EA3">
        <w:rPr>
          <w:rFonts w:ascii="Roboto Light" w:eastAsia="Roboto Light" w:hAnsi="Roboto Light" w:cs="Roboto Light"/>
          <w:b/>
          <w:bCs/>
          <w:sz w:val="20"/>
          <w:szCs w:val="20"/>
        </w:rPr>
        <w:t xml:space="preserve">claims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and reducing losses.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stakeholders to align project milestones with business objectives, ensuring all machine learning deployments resonate with actual business needs and enhance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model training, implementing complex algorithms that directly impacted policyholder experiences and improved claims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effective storage and retrieval of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solutions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accessibility and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of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operational routines, promoting a data-centric decision-making approach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secure APIs for model access to internal teams, focusing on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architecture's security layer to protect sensitive customer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refine the infrastructure supporting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scalability while also emphasizing monitoring and anomaly detection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w:t>
      </w:r>
      <w:r w:rsidRPr="00106EA3">
        <w:rPr>
          <w:rFonts w:ascii="Roboto Light" w:eastAsia="Roboto Light" w:hAnsi="Roboto Light" w:cs="Roboto Light"/>
          <w:b/>
          <w:bCs/>
          <w:sz w:val="20"/>
          <w:szCs w:val="20"/>
        </w:rPr>
        <w:t xml:space="preserve">cloud cost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assessing cloud usage patterns to propose actionable strategies for resource conservation within deployed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cloud capabilities and building scalable applications leveraging </w:t>
      </w:r>
      <w:r w:rsidRPr="00106EA3">
        <w:rPr>
          <w:rFonts w:ascii="Roboto Light" w:eastAsia="Roboto Light" w:hAnsi="Roboto Light" w:cs="Roboto Light"/>
          <w:b/>
          <w:bCs/>
          <w:sz w:val="20"/>
          <w:szCs w:val="20"/>
        </w:rPr>
        <w:t xml:space="preserve">cloud services* and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microservices</w:t>
      </w:r>
      <w:r w:rsidRPr="00106EA3">
        <w:rPr>
          <w:rFonts w:ascii="Roboto Light" w:eastAsia="Roboto Light" w:hAnsi="Roboto Light" w:cs="Roboto Light"/>
          <w:b/>
          <w:bCs/>
          <w:sz w:val="20"/>
          <w:szCs w:val="20"/>
        </w:rPr>
        <w:t xml:space="preserve"> architecture to meet business objectives.</w:t>
      </w:r>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ensure software aligns with user needs,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feedback and iterate quickly on product improvements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applications leveraging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backend services and APIs designed to integrate with front-end solutions, ensuring seamless interactions across platforms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application performance through profiling and optimization, rigorously testing applications for both functionality and usability in diverse environments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reviews and design decisions influencing the software stack's trajectory, making recommendations that optimized the balance between flexibility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automate key testing and deployment processes, implementing a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that improved software release cycles significantly by reducing downtime and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in best software engineering practices, creating a comprehensive onboarding process that improved team productivity and cohesion from day one.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r w:rsidRPr="00106EA3">
        <w:rPr>
          <w:rFonts w:ascii="Roboto Light" w:eastAsia="Roboto Light" w:hAnsi="Roboto Light" w:cs="Roboto Light"/>
          <w:b/>
          <w:bCs/>
          <w:sz w:val="20"/>
          <w:szCs w:val="20"/>
        </w:rPr>
        <w:t xml:space="preserve">internal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operational workflows, directly impacting productivity and employee satisfaction by reducing manual errors and repetition involved in key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stakeholder meetings to define product roadmaps and key deliverables, ensuring transparency throughout project lifecycles and nurturing a collaborative team environment that prioritized shared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unit tests to ensure integrity and performance, leading the initiative for continuous improvement in testing frameworks to catch potential issues early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in compliance with regulatory standards, ensuring that all software solutions adhered to local and international data protection laws during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mechanisms to inform product development cycles, leveraging insights into user experience to create more intuitive and effective software solutions that truly meet customer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