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Skilled in delivering high-quality user experiences through collaboration and technical leadership, with a focus on scalable full stack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Redux, Sass, Bootstrap,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GraphQL, REST APIs, Django, Flask,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Terraform,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Jasmine, Cypress, Selenium,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drive the technical planning for enhancing member experience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aligned roadmap delivery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microservices architecture that enhances data flow reliability across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seamless integration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improving user experience by developing end-to-end solutions for web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front-end functionality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the backend.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addressed bug fixes and performance improvements in the application,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testing, resulting in enhanced reliability and faster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software engineering best practices by mentoring junior developers and leading code reviews, promoting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across teams for better version control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high-performance and scalable backend services while optimizing queries for efficiency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enrich application features,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rapid development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local storage in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deployment strategies by implementing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automated testing and continuous integration for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meetings, showcasing adaptability and collaboration in a remote-first culture, contributing to agile project management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improving the application’s accessibility and performance metrics, ensuring compliance with industry standards to elevate the overall user experience and adaptability.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industry trends and emerging technologies related to healthcare applications, providing insights that informed product development strategies and technology selection.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APIs in a team setting,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for effective data retrieval and manipulation.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craft interactive, rich user interfaces while ensuring cross-browser compatibility and responsiveness, significantly improving user engagement and satisfaction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part in a cross-functional team to redesign legacy systems, migrating them to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performance significantly across modules.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tuning and code profiling, implementing solutions based on feedback and analytics to maintain the high reliability of critical business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development processes, utilizing Scrum methodologies to manage workload effectively while maintaining a collaborative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API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efficiency and fostering technical growth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architectural decisions that shaped the product roadmap, closely working with UX/UI designers to ensure a cohesive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while developing applications, incorporating strategies to protect user data in accordance with industry regulations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and knowledge sharing sessions, ensuring that the team remained at the forefront of technological advancements relevant to the healthcare industry.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application features based on user feedback and usability testing, delivering iterative enhancements that aligned with user needs and improved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establish comprehensive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quality and readiness for deployment.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