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EHR integrations, API management, and data transformation. Proficient in HL7, FHIR, and Epic systems, emphasizing collaborative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APIs:</w:t>
      </w:r>
      <w:r w:rsidRPr="00106EA3">
        <w:rPr>
          <w:rFonts w:ascii="Roboto Light" w:eastAsia="Roboto Light" w:hAnsi="Roboto Light" w:cs="Roboto Light"/>
          <w:sz w:val="20"/>
          <w:szCs w:val="20"/>
        </w:rPr>
        <w:t xml:space="preserve"> Spring Boot, FastAPI, Express.js, RESTful APIs,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HL7, FHIR, EDI, MuleSoft, Cloverleaf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PostgreSQL, Microsoft SQL Server, MongoDB,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Jenkins, Kubernetes,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projects ensuring smooth communication between </w:t>
      </w:r>
      <w:r w:rsidRPr="00106EA3">
        <w:rPr>
          <w:rFonts w:ascii="Roboto Light" w:eastAsia="Roboto Light" w:hAnsi="Roboto Light" w:cs="Roboto Light"/>
          <w:b/>
          <w:bCs/>
          <w:sz w:val="20"/>
          <w:szCs w:val="20"/>
        </w:rPr>
        <w:t xml:space="preserve">Epic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third-party applications, employing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applying strong problem-solving skills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comprehensive </w:t>
      </w:r>
      <w:r w:rsidRPr="00106EA3">
        <w:rPr>
          <w:rFonts w:ascii="Roboto Light" w:eastAsia="Roboto Light" w:hAnsi="Roboto Light" w:cs="Roboto Light"/>
          <w:b/>
          <w:bCs/>
          <w:sz w:val="20"/>
          <w:szCs w:val="20"/>
        </w:rPr>
        <w:t xml:space="preserve">Epic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 analysis that involved configuration, support, and performance improvement of integration systems, fueling operational efficiency through strategic oversight and collaboration with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intricate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facilitating seamless data exchanges between disparate healthcare systems, ensuring compliance with stringent security protocols and industry regulations to protect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and external teams to design standardized data transformation mappings, leading to improved data quality and operational efficiencies that are crucial in the healthcare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the deployment and administration of </w:t>
      </w:r>
      <w:r w:rsidRPr="00106EA3">
        <w:rPr>
          <w:rFonts w:ascii="Roboto Light" w:eastAsia="Roboto Light" w:hAnsi="Roboto Light" w:cs="Roboto Light"/>
          <w:b/>
          <w:bCs/>
          <w:sz w:val="20"/>
          <w:szCs w:val="20"/>
        </w:rPr>
        <w:t xml:space="preserve">Epic Bridges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the interface management efforts that significantly enhanced the integration process and aligned with evolving business needs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testing protocols covering unit, field-by-field, and integration testing, resulting in flawless data exchanges across multiple operational fronts by rigorously validating every integration point.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and maintenance of integration solutions, proactively identifying performance bottlenecks and resolving interface issues, thus strengthening the operational integrity of the </w:t>
      </w:r>
      <w:r w:rsidRPr="00106EA3">
        <w:rPr>
          <w:rFonts w:ascii="Roboto Light" w:eastAsia="Roboto Light" w:hAnsi="Roboto Light" w:cs="Roboto Light"/>
          <w:b/>
          <w:bCs/>
          <w:sz w:val="20"/>
          <w:szCs w:val="20"/>
        </w:rPr>
        <w:t xml:space="preserve">EHR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deployment processes of custom applications, significantly enhancing system reliability and turnaround times for new features in rapidly evolving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for effective integration between </w:t>
      </w:r>
      <w:r w:rsidRPr="00106EA3">
        <w:rPr>
          <w:rFonts w:ascii="Roboto Light" w:eastAsia="Roboto Light" w:hAnsi="Roboto Light" w:cs="Roboto Light"/>
          <w:b/>
          <w:bCs/>
          <w:sz w:val="20"/>
          <w:szCs w:val="20"/>
        </w:rPr>
        <w:t xml:space="preserve">Epic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external EDI partners, enhancing transactional capabilities and ensuring accuracy through robust validation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extensive documentation detailing integration workflows, technical specifications, and operational procedures which facilitated onboarding and knowledge transfer across various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liaison between technical departments and clinical staff, leveraging comprehensive understanding of healthcare environments to define integration architecture and scalable solutions with effective communication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ensure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established data privacy policies within integration solutions, safeguarding patient information while maintaining system functionality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team on best practices for integration management, fostering a culture of collaboration and continuous improvement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regarding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to remain ahead of the curve and provide innovative integration solutions tailored to client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new integrations to improve team understanding of complex systems, effectively bridging gaps in knowledge and promoting best practices for integration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strategically enhancing performance and scalability for internal business processes and client-facing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projects implementing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integrations met established SLAs while fostering strong relationships with third-party vendors and maintaining essential communication for ongoing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robust database solutions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management and facilitating reliable retrieval of critical business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analysis and transformation strategies, using tools like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ETL processes and improve data accuracy as part of the broader data integration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cross-team collaboration and ensuring that project milestones were achieved on schedule through tractable user stories and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clarify requirements and specifications for upcoming projects, ensuring the development team delivered solutions that consistently met user needs and enhanced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ensure high-quality standards in code development and fostering a culture of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user experience while ensuring adherence to modern web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effectively in fast-paced development environments, prioritizing multiple tasks while maintaining productivity and accuracy, ensuring team objectives were consistently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knowledge base by documenting technical processes and creating onboarding materials that were accessible for new developers, fostering a culture of support and camaraderie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changes in code and collaborate seamlessly with team members, ensuring that all modifications were documented and easily reversible in future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audits focusing on load testing and optimization, ensuring applications operated at peak performance levels and providing reliable service to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