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finance professional with over 11 years of experience specializing in settlements, data analysis, and financial reporting. Skilled in SQL, Python, and modern financial technologies, known for translating complex datasets into actionable insights for decision-making. Strong collaborator with expertise in cross-functional team dynamics and a track record of optimizing financial performance in the energy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MySQL, Oracle, PostgreSQL, MongoDB, ETRM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Tableau, Power BI,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Software:</w:t>
      </w:r>
      <w:r w:rsidRPr="00106EA3">
        <w:rPr>
          <w:rFonts w:ascii="Roboto Light" w:eastAsia="Roboto Light" w:hAnsi="Roboto Light" w:cs="Roboto Light"/>
          <w:sz w:val="20"/>
          <w:szCs w:val="20"/>
        </w:rPr>
        <w:t xml:space="preserve"> SAP, QuickBooks, Oracle Financial Services, ETRM systems,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accurate financial settlements and reconciled complex transactions across diverse data sources, harnessing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settlement data to evaluate trading efficacy, improving asset optimization strategies through detailed performance insights and forecasts.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Trading, Risk, and Operations teams, establishing a proactive environment focused on financial accuracy and transparency across power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workflows for trade capture and settlement processes, leveraging tools such as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forecasts of revenue and costs, supporting financial planning initiatives with innovative approaches and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regulatory reporting requirements with precision, ensuring timely submission and compliance with industry standards and regulations in power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systems and tools for better financial reporting accuracy, facilitating informed decision-making for executive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market transactions and settlement calculations, specifically within </w:t>
      </w:r>
      <w:r w:rsidRPr="00106EA3">
        <w:rPr>
          <w:rFonts w:ascii="Roboto Light" w:eastAsia="Roboto Light" w:hAnsi="Roboto Light" w:cs="Roboto Light"/>
          <w:b/>
          <w:bCs/>
          <w:sz w:val="20"/>
          <w:szCs w:val="20"/>
        </w:rPr>
        <w:t xml:space="preserve">ERCOT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clarity of financial insights shared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data processing tasks, reducing manual intervention and increasing operational efficiency across finance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communicated with external counterparties to resolve discrepancies, ensuring data integrity and fostering partnerships crucial for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financial audits by preparing necessary documentation and reports, reinforcing the foundation for trust and transparency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financial infrastructures aligned with Intersect’s growth strategy, ensuring sustainable practices within the corporate finance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junior analysts on SQL and data management practices, enhancing overall department capabilities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focused on optimizing team processes and enhancing performance metrics related to settlements and financial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cross-departmental integration projects, driving collaboration, clarity in roles, and optimizing resources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daily profit and loss statements, utilizing advanced spreadsheets and financial software to maximize revenue recognition and reporting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deep analytical assessments on trading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insights that drive strategic financial decisions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cloud-based financial models, enhancing reporting capabilities with modern analytics tools and infrastructure in data-heavy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external stakeholders to ensure consistency in settlements, pushing for accuracy and collaboration in reporting and processing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new technologies into existing settlement processes, embracing advancements that streamline operations and enhance data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visualization tools, providing stakeholders with real-time financial insights and metrics critical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settlement workflows underpinned by a strong understanding of industry regulations and market dynamics, aligning strategies to elevate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audits and compliance checks to ensure all systems align with federal and state regulations, reinforcing corporate governance and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trade analysis using historical market data, translating findings into strategic recommendations for improving trading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developments and participated in training sessions to remain current on emerging trends in finance and energy markets, adapting practices based on these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data query methods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analyses driving operational improvements and informed decision-making across finance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data accuracy and reporting standards, encouraging continuous growth and development within the corporate finance function.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