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Engineer with over 11 years of experience in software development, specializing in web and mobile applications. Proven expertise in Sales Engineering, API integrations, and cloud architectures. Strong collaborator with a focus on enabling enterprise clients' success through technical discovery, tailored demonstrations, and insightful feedback loops.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(GCP),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GitLab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OAuth, Webhooks,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Orchestration:</w:t>
      </w:r>
      <w:r w:rsidRPr="00106EA3">
        <w:rPr>
          <w:rFonts w:ascii="Roboto Light" w:eastAsia="Roboto Light" w:hAnsi="Roboto Light" w:cs="Roboto Light"/>
          <w:sz w:val="20"/>
          <w:szCs w:val="20"/>
        </w:rPr>
        <w:t xml:space="preserve"> n8n, Apache Airflow, Zapier, Microsoft Power Automate, IFTTT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technical discovery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with enterprise clients, uncovering their needs and demonstrating how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can seamlessly integrate into their existing workflows and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tailored demonstrations of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real-world workflows and addressing complex security, scalability, and reliability concerns specific to enterprise environments and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Proof of Concept (POC) evaluations by defining success criteria, demonstrating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hands-on guidance to ensure clients validated our solution in their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sales teams to devise strategies for overcoming technical objections, ensuring prospects understood the value proposition of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how it uniquely fits their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stakeholders, including IT, Security, and Engineering teams, ensuring effective communication and support throughout the evaluation process to promote client confidence in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structured feedback mechanism from enterprise clients to product and engineering teams, enhancing product development based on user insights and operational realities.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discussions about security protocols and governance best practices, ensuring enterprise clients could confidently plan and execute their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journeys.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brainstorming sessions to develop innovative technical solutions, encouraging collaboration and leveraging diverse perspectives to enhance enterprise sales motions.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clients on best practices for deployment and governance within their unique environments, establishing trust and rapport as a thought leader in workflow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training sessions to educate internal sales teams and enterprise clients on effective usage and capabilities of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enhanced product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approaches to analyze customer journey feedback and streamline pre-sales processes, ensuring optimized workflows that enhanced customer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client teams to refine and improve ongoing POC phases, integrating their feedback into actionable insights for future development and customer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enablement materials that empowered sales teams to effectively communicate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unique attributes and advantages to potential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Forecasted industry trends and customer needs through market analysis, enabling proactive adjustments to the sales strategy and product offerings to align with evolving technology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onboarding sessions, establishing a strong foundation for customer success and ensuring seamless transition into active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from trial to production.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dynamic and responsive user experiences tailored to business requirements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features and functionalities, leveraging agile methodologies to ensure timely delivery and high-quality output of application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and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exchange between client applications and backend systems while promoting modular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 processes and enhancing code quality through automated testing and integration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scalability of applications by employing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performance for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fostering a culture of continuous improvement and professional development among engineering teams while sharing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code repositories, ensuring seamless teamwork and efficient management of development cycles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and feedback sessions to gather insights and refine application interfaces, prioritizing user-centered design principles for improved user adoption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workshops aimed at enhancing internal team knowledge on industry standards, emerging technologies, and effective practices for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observability tools, including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uptime through proactive incident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profiling and analysis techniques, implementing solutions that addressed bottlenecks and improved response times in critical business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integration projects with other services and platforms, employing concepts of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authentication and </w:t>
      </w:r>
      <w:r w:rsidRPr="00106EA3">
        <w:rPr>
          <w:rFonts w:ascii="Roboto Light" w:eastAsia="Roboto Light" w:hAnsi="Roboto Light" w:cs="Roboto Light"/>
          <w:b/>
          <w:bCs/>
          <w:sz w:val="20"/>
          <w:szCs w:val="20"/>
        </w:rPr>
        <w:t xml:space="preserve">API gateways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across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