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Proven track record in designing intelligent systems and leveraging advanced technologies to drive innovation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Rust,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LangChain, LangGraph, Flask, Django, React, Node.js,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 Solutions:</w:t>
      </w:r>
      <w:r w:rsidRPr="00106EA3">
        <w:rPr>
          <w:rFonts w:ascii="Roboto Light" w:eastAsia="Roboto Light" w:hAnsi="Roboto Light" w:cs="Roboto Light"/>
          <w:sz w:val="20"/>
          <w:szCs w:val="20"/>
        </w:rPr>
        <w:t xml:space="preserve"> PostgreSQL, MongoDB, MySQL, Redis, Elasticsearch, DynamoDB,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CircleCI,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AI Techniques:</w:t>
      </w:r>
      <w:r w:rsidRPr="00106EA3">
        <w:rPr>
          <w:rFonts w:ascii="Roboto Light" w:eastAsia="Roboto Light" w:hAnsi="Roboto Light" w:cs="Roboto Light"/>
          <w:sz w:val="20"/>
          <w:szCs w:val="20"/>
        </w:rPr>
        <w:t xml:space="preserve"> Pandas, NumPy, Scikit-learn, Apache Spark, Hadoop, OpenAI GPT, BERT, Vector Databases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design and implement AI-driven solutions that enhance user engagement and drive revenue, focusing on coherent communication and orchestration of multi-agent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comprehensive production-ready services and streamline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state-of-the-art frameworks such as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agentic systems, emphasizing effective communication and logical reasoning tailored to enhance complex problem-solving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analysis initiatives, specifically in utilizing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curate datasets, validate hypotheses, and generate actionable insights supporting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cloud-native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robustness of solutions through containerization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satisfaction through modern UI design and seamless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sprints, collaborating closely with product managers and designers to ensure alignment with business goals and customer needs in delivering impactful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algorithms aimed at optimizing response times in LLM-powered systems by employing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resulting in noticeable improvements in service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of evaluation metrics to quantify the performance of AI models, applying statistical methods and tools to measure key indicators such as </w:t>
      </w:r>
      <w:r w:rsidRPr="00106EA3">
        <w:rPr>
          <w:rFonts w:ascii="Roboto Light" w:eastAsia="Roboto Light" w:hAnsi="Roboto Light" w:cs="Roboto Light"/>
          <w:b/>
          <w:bCs/>
          <w:sz w:val="20"/>
          <w:szCs w:val="20"/>
        </w:rPr>
        <w:t xml:space="preserve">NPS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scores and customer 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reducing time-to-market while maintaining high-quality standards in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