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user-centric web and mobile applications. Proficient in modern frameworks and languages, with a proven track record in delivering robust solutions across various platforms, including geospatial data applications. Strong collaboration and problem-solving skills allow for effective teamwork in fast-paced environments, driving innovation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MapLibre, Node.js, Express, Django, Flask,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Mapbox, OpenLayers, ArcGIS, GeoServer, GDAL, QGIS, WMS, WFS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geospatial mapping, ensuring performant and user-friendly interfaces that adhere to design specifications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solutions combining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APIs and seamless data integration with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solutions, emphasizing rapid iteration and feedback to continuously improve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enhancing deployment efficiency and scalability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culture of collaboration and knowledge sharing among team members to deliver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such as Scrum and Kanban to manage project timelines, prioritize tasks, and ensure compliance with customer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database-driven applications, emphasizing the importance of data security, performance, and multi-user access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implemented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application responsiveness and loading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incorporated feedback into development cycles to ensure products meet user needs and deliver exceptional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and technical approaches, enabling their professional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architectures for geospatial applications,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OGC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availability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functional application interfaces,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designs with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contributing technical insights to align software solutions with organizational goals and mission-driven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reliability prior to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 and provide users with real-time data access, ensuring competitive advantage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enterprise-level applications, ensuring high availability and performance through effective resource management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front-end technologies, enabling seamless data interchange and enhancing overall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structures, ensuring data integrity and optimizing query performance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collaborated closely with QA teams to ensure software quality and reliability in delivering production-grade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continuous integration and delivery pipelines,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agile methodologies to manage software development projects, maintaining engagement with stakeholders through regular updates and progress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to protect sensitive user information, ensuring applications comply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for new software technologies, assessing their relevance and potential impact on existing applications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clients and internal teams, troubleshooting issues effectively while ensuring timely resolutions to maintain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web applications with a focus on responsive design and cross-platform compatibility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development frameworks and tools, sharing knowledge of emerging trends and practices to foster skill growth and competency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community discussions, enhancing professional visibility and technical knowledge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