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full stack web and mobile applications. Proven ability to stabilize legacy systems and modernize architecture while leading collaborative projects. Skilled in developing scalable and secure applications utilizing a wide array of programming languages and frameworks, with a strong emphasis on architectural leadership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Patterns:</w:t>
      </w:r>
      <w:r w:rsidRPr="00106EA3">
        <w:rPr>
          <w:rFonts w:ascii="Roboto Light" w:eastAsia="Roboto Light" w:hAnsi="Roboto Light" w:cs="Roboto Light"/>
          <w:sz w:val="20"/>
          <w:szCs w:val="20"/>
        </w:rPr>
        <w:t xml:space="preserve"> Microservices, RESTful APIs, MVVM, CI/CD,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stabilization and modernization of legacy systems, collaborating with cross-functional teams to ensure alignment between project execution and mission needs while addressing technical debt and ensuring high-level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scalable database architectures and data migration strategies that mitigated operational disruptions and aligned with long-term modernization goals while maintaining robust application performance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provided guidance on non-functional requirements such as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implementation aligned with architectural design principles and modern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engagement by clearly communicating technical risks and proposed mitigation strategies, enhancing collaborative efforts with both technical and non-technical audiences and fostering a culture of innovation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corporate technical leadership initiatives by contributing to architectural best practices and providing insights that shaped solution approaches for proposals and organizational growth initiatives that met industry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diverse set of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spearhead the development of modern web applications that are performant, scalable, and highly maintainable within agile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database environments and application code, employing best practices to enhance maintainability and performance which led to improved operational efficiencies across complex system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that adhered to regulatory compliance mandates, utilizing a robust understanding of data security measures while ensuring application integrity and minimizing risks associated with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existing application environments, proposing strategic improvements and fostering a collaborative environment to measure and document system performance and data health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CI/CD practices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that reinforced an automated workflow, leading to expedited deployment cycles and reduced overall time to market for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program security teams to identify key vulnerabilities and design remediation strategies that aligned with overarching architectural leadership in mission-critical government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phased roadmap for application modernization, employing incrementally safe strategies that balanced immediate operational fixes with future growth considerations to sustain long-term viability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a high-complexity environment, enhancing adaptability and resilience by leading a team of engineers through the complexities of legacy system modernization while ensuring rigorous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development of microservices architectures allowing for flexible integration patterns that improve scalability while meeting current and future operational demands across federal government contracts.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improvement practices that foster innovation among teams, promoting an open dialogue that encouraged the sharing of ideas and best practices for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security best practices that adhered to corporate standards and customer requirements within an agile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requiring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efforts to streamline application architectures while also implementing systems that enhance user experiences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 analysis and architecture design to deployment and post-deployment support, ensuring high-quality deliverables that meet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and integration testing,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application reliability, fostering a culture of accountability and excellence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applications, contributing to cost-effective solutions while ensuring scalability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for code collaboration and team communication, resulting in improved workflow efficiency and project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web applications, employing techniques to enhance loading times and overall system performance, promoting user satisfaction and engagement with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 diverse team of developers and stakeholders to translate complex business requirements into technical specifications, aligning project objectives with client goals, ensuring delivery of exceptional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performance optimization, which facilitated seamless data access and retrieval for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processes, employing knowledge of scalable design principles and ensuring alignment with organizational growth strategies through iterative feedback mechanisms.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