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data engineering and architecture for web and mobile applications. Proven ability in designing scalable data solutions, data governance, and advanced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Spark, Kafka,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ETL/ELT Tools:</w:t>
      </w:r>
      <w:r w:rsidRPr="00106EA3">
        <w:rPr>
          <w:rFonts w:ascii="Roboto Light" w:eastAsia="Roboto Light" w:hAnsi="Roboto Light" w:cs="Roboto Light"/>
          <w:sz w:val="20"/>
          <w:szCs w:val="20"/>
        </w:rPr>
        <w:t xml:space="preserve"> Apache NiFi, Talend, Airflow, Informatica,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PowerBI, Tableau, Looker, D3.js,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Governance:</w:t>
      </w:r>
      <w:r w:rsidRPr="00106EA3">
        <w:rPr>
          <w:rFonts w:ascii="Roboto Light" w:eastAsia="Roboto Light" w:hAnsi="Roboto Light" w:cs="Roboto Light"/>
          <w:sz w:val="20"/>
          <w:szCs w:val="20"/>
        </w:rPr>
        <w:t xml:space="preserve"> Erwin, SQLDBM, Data Vault, Dimensional Modeling, Metadata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advanced ETL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transforming unstructured datasets into structured analytics platforms while ensuring high data quality and performance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 warehouse architectures, integrating technologies like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data accessibility and analytics capabilities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embedding compliance regulations applicable to GDPR and CCPA into data handling processes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data engineering practices, emphasizing the importance of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including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anonymization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API usability following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for improved performance, introducing automation strategies that leveraged tools such as </w:t>
      </w:r>
      <w:r w:rsidRPr="00106EA3">
        <w:rPr>
          <w:rFonts w:ascii="Roboto Light" w:eastAsia="Roboto Light" w:hAnsi="Roboto Light" w:cs="Roboto Light"/>
          <w:b/>
          <w:bCs/>
          <w:sz w:val="20"/>
          <w:szCs w:val="20"/>
        </w:rPr>
        <w:t xml:space="preserve">Monte Carlo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quality monitoring and anomaly detection during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lineage documentation to meet audit requirements and ensured all data flows were traceable from source through transformation to final analysis destinations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sessions with subject matter experts, resulting in efficient transformations of complex data sets into optimized </w:t>
      </w:r>
      <w:r w:rsidRPr="00106EA3">
        <w:rPr>
          <w:rFonts w:ascii="Roboto Light" w:eastAsia="Roboto Light" w:hAnsi="Roboto Light" w:cs="Roboto Light"/>
          <w:b/>
          <w:bCs/>
          <w:sz w:val="20"/>
          <w:szCs w:val="20"/>
        </w:rPr>
        <w:t xml:space="preserve">dimensional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ingestion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streaming data analysis to drive responsiveness and agility in the organizational decision-making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and adaptation of emerging data technologies, evaluating new tools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strategies remain cutting-edge and effective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industry-standard </w:t>
      </w:r>
      <w:r w:rsidRPr="00106EA3">
        <w:rPr>
          <w:rFonts w:ascii="Roboto Light" w:eastAsia="Roboto Light" w:hAnsi="Roboto Light" w:cs="Roboto Light"/>
          <w:b/>
          <w:bCs/>
          <w:sz w:val="20"/>
          <w:szCs w:val="20"/>
        </w:rPr>
        <w:t xml:space="preserve">data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an organizational culture focused on data integrity and transparency to support decision-making based on reliable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Data Product Manager to translate data requirements into feasible engineering solutions that reinforced the development of strategic business outcomes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dashboards that simplified complex data insights for key stakeholders across varying levels of technical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cross-functional leadership by actively participating in architecture review boards, promoting best practices in technical design sessions that align innovative solutions with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cutting-edge data technologies to enhance organizational analytics capabilities, ensuring tools selected align with established infrastructure and organizational goals for data-driven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documentation and standards for data engineering processes, aiming to streamline project workflows and ensure consistent quality in all data outputs.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applications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 and streamline reporting functionality across 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development teams to refine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ensure adaptability and scalability in response to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data migration projects involving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transitions from legacy systems to modern cloud-based platforms, significantly enhancing data accessibility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routine audits of data governance frameworks, assessing compliance with internal protocols and external standards to maintain the organization’s integrity and trustworthiness in its data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data-driven decision-making by integrating seamless </w:t>
      </w:r>
      <w:r w:rsidRPr="00106EA3">
        <w:rPr>
          <w:rFonts w:ascii="Roboto Light" w:eastAsia="Roboto Light" w:hAnsi="Roboto Light" w:cs="Roboto Light"/>
          <w:b/>
          <w:bCs/>
          <w:sz w:val="20"/>
          <w:szCs w:val="20"/>
        </w:rPr>
        <w:t xml:space="preserve">reporting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empowering stakeholders to easily access and analyze key performance indicators and operational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ETL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manual workload on data teams and improving overall operational efficiency within data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and development of custom </w:t>
      </w:r>
      <w:r w:rsidRPr="00106EA3">
        <w:rPr>
          <w:rFonts w:ascii="Roboto Light" w:eastAsia="Roboto Light" w:hAnsi="Roboto Light" w:cs="Roboto Light"/>
          <w:b/>
          <w:bCs/>
          <w:sz w:val="20"/>
          <w:szCs w:val="20"/>
        </w:rPr>
        <w:t xml:space="preserve">data visualization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data-informed culture within teams while ensuring stakeholder requirements were met satisfactorily.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by conducting technical training sessions on data engineering methodologies and tools, equipping junior engineers with the requisite skills to excel in their roles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focused on developing efficient methodologies for large-scale data processing, embracing emerging technologies that push the boundaries of current data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analytical capabilities of teams by implementing advanced machine learning algorithms within the data workflow, enabling predictive analytics and fostering innovative solutions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providing constructive feedback to improve team output quality and promoting adherence to established coding standards and best development practices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cross-border technical resource planning, aligning project strategies with customer needs to ensure that data solutions accelerate business outcomes in all settings.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