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professional with over 11 years of experience in software development, specializing in web and mobile applications, enterprise architecture, and cloud solutions. Proven track record in strategic alignment and architecture leadership, emphasizing collaboration with senior leadership to create innovative technical solutions aligned with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TypeScript, SQL,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Angular, React, Spring Boot, Node.js, Django, Flask, Express.js, .NET Core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Technologies:</w:t>
      </w:r>
      <w:r w:rsidRPr="00106EA3">
        <w:rPr>
          <w:rFonts w:ascii="Roboto Light" w:eastAsia="Roboto Light" w:hAnsi="Roboto Light" w:cs="Roboto Light"/>
          <w:sz w:val="20"/>
          <w:szCs w:val="20"/>
        </w:rPr>
        <w:t xml:space="preserve"> Oracle, SQL Server, DB2, SAP HANA, BigQuery, Google Cloud Spanner, MySQL,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AWS, Microsoft Azure, IBM Cloud, Heroku, Firebase, DigitalOcean,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and APIs:</w:t>
      </w:r>
      <w:r w:rsidRPr="00106EA3">
        <w:rPr>
          <w:rFonts w:ascii="Roboto Light" w:eastAsia="Roboto Light" w:hAnsi="Roboto Light" w:cs="Roboto Light"/>
          <w:sz w:val="20"/>
          <w:szCs w:val="20"/>
        </w:rPr>
        <w:t xml:space="preserve"> RESTful APIs, GraphQL, SOAP, ETL, ELT, B2B Integration, Message Queue,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Practices:</w:t>
      </w:r>
      <w:r w:rsidRPr="00106EA3">
        <w:rPr>
          <w:rFonts w:ascii="Roboto Light" w:eastAsia="Roboto Light" w:hAnsi="Roboto Light" w:cs="Roboto Light"/>
          <w:sz w:val="20"/>
          <w:szCs w:val="20"/>
        </w:rPr>
        <w:t xml:space="preserve"> Docker, Kubernetes, Git, CI/CD, JIRA, Agile, DevOps,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solution architectures that prioritized flexibility and scalability, aligning enterprise needs with </w:t>
      </w:r>
      <w:r w:rsidRPr="00106EA3">
        <w:rPr>
          <w:rFonts w:ascii="Roboto Light" w:eastAsia="Roboto Light" w:hAnsi="Roboto Light" w:cs="Roboto Light"/>
          <w:b/>
          <w:bCs/>
          <w:sz w:val="20"/>
          <w:szCs w:val="20"/>
        </w:rPr>
        <w:t xml:space="preserve">strategic business objectives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robust governance throughout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ensure adherence to architectural visions, driving the implementation of </w:t>
      </w:r>
      <w:r w:rsidRPr="00106EA3">
        <w:rPr>
          <w:rFonts w:ascii="Roboto Light" w:eastAsia="Roboto Light" w:hAnsi="Roboto Light" w:cs="Roboto Light"/>
          <w:b/>
          <w:bCs/>
          <w:sz w:val="20"/>
          <w:szCs w:val="20"/>
        </w:rPr>
        <w:t xml:space="preserve">cloud-based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fostered operational excellence and improved system performance across various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evaluated industry trends and emerging technologies to recommend and integrate innovative tools, fostering a culture of </w:t>
      </w:r>
      <w:r w:rsidRPr="00106EA3">
        <w:rPr>
          <w:rFonts w:ascii="Roboto Light" w:eastAsia="Roboto Light" w:hAnsi="Roboto Light" w:cs="Roboto Light"/>
          <w:b/>
          <w:bCs/>
          <w:sz w:val="20"/>
          <w:szCs w:val="20"/>
        </w:rPr>
        <w:t xml:space="preserve">continuous improvement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 and enhancing overall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architecture roadmaps that guided both technology strategy and implementation plans, utilizing a variety of frameworks and methodologies, such as </w:t>
      </w:r>
      <w:r w:rsidRPr="00106EA3">
        <w:rPr>
          <w:rFonts w:ascii="Roboto Light" w:eastAsia="Roboto Light" w:hAnsi="Roboto Light" w:cs="Roboto Light"/>
          <w:b/>
          <w:bCs/>
          <w:sz w:val="20"/>
          <w:szCs w:val="20"/>
        </w:rPr>
        <w:t xml:space="preserve">TOGAF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Zachman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governance and standardization.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major enterprise architecture transformations that encompassed multiple business functions, optimizing total cost of ownership and accelerating time-to-market for critical customer-facing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architects and engineers to enhance their understanding of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encouraging knowledge sharing and collaboration to overcome complex challenges in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risk and return on investment analyses of proposed solutions, providing critical insights that informed senior leadership's decision-making and investment strategies for technology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architectural standards, reference architectures, and patterns that consistently improved the quality and efficiency of solution delivery across the enterprise.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high-level discussions with C-Suite executives to align technology investments with </w:t>
      </w:r>
      <w:r w:rsidRPr="00106EA3">
        <w:rPr>
          <w:rFonts w:ascii="Roboto Light" w:eastAsia="Roboto Light" w:hAnsi="Roboto Light" w:cs="Roboto Light"/>
          <w:b/>
          <w:bCs/>
          <w:sz w:val="20"/>
          <w:szCs w:val="20"/>
        </w:rPr>
        <w:t xml:space="preserve">business strategy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shared vision for future-state architecture and technology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vendor evaluations and negotiations, contributing to software sourcing decisions that met performance expectations, budget constraints, and long-term strategic goals for technology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initiatives for compliance with security legislation, ensuring that architectural designs and implementations adhered to regulations such as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PCI DSS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customer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deployment and operationalizing of existing business systems, leveraging automation and containerization tools to improve overall software delivery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documentation to communicate architectural vision and standards to development teams, enabling clear understanding of architectural decisions and fostering alignment on implementation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data modeling techniques to support database design, ensuring data integrity and support for analytics across various business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between IT and business stakeholders, effectively translating executive business requirements into actionable architecture guidelines and technology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dynamic, scalable web applications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user experience through responsive design and effective state management, which increased user engagement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adaptively refine project objectives and align technical solutions with customer needs throughout the project timeline.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implement seamless interfaces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improving application aesthetics and user experience for enterprise-level applications built on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coding practices across multiple teams by introducing style guides and technical documentation, which streamlined development processes and enhanced team collaboration on large-scale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for enhanced application functionality, emphasizing security and efficiency while ensuring proper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design principles were followed during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user feedback post-deployment to iterate on application design, identifying bottlenecks and proposing targeted improvements to increase efficiency and lower downtime incidents.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cross-departmental teams to gather and analyze requirements, translating complex business needs into clear technical specifications and ensuring alignment with project deliverables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for less experienced engineers, providing insights on emerging technologies used in application development, fostering a culture of learning and innovation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data storage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maximizing performance and ensuring scalability as user demands increased.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Employing in-depth knowledge of best practices, contributed to several successful deployments of enterprise solutions, ensuring compliance with corporate governance standards during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sophisticated automated testing frameworks to ensure application reliability and performance, significantly reducing post-launch defects and ensuring continuous quality delivery across all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integrations of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platform services to enhance application capabilities, resulting in improved data processing speeds and reduced operational costs.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