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Proven expertise in Python, Generative AI, and agent orchestration with a strong security focus. Adept at designing and implementing advanced AI solutions and maintaining best practices in code quality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Golang,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Hugging Face, OpenAI GPT, Google VertexAI, Anthropic Claude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CircleCI,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SQLAlchemy, MongoDB, MySQL, Redis, Weaviate, Pinecone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Azure OpenAI, AWS Bedrock, IBM Watson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Generative AI Agents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automation workflows, improving process efficiency significantly within the AI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multi-agent orchestration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solutions that automate complex tasks, enhancing performance and security across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code,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Injection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prevention, ensuring that all developed AI applications adhered to industry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prompt engineering techniques to refine and optimize AI models, significantly increasing the accuracy and relevance of responses generated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AI solutions into existing systems,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for junior developers, fostering a culture of excellence in coding practices and software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applied innovative AI technologies and frameworks constantly,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VertexAI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development of cutting-edge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AI project specifications and workflows, which improved team understanding and collaboration on complex automation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deployment processes for AI-enabled features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 within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monitoring and observability frameworks to track AI performance,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performance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loops into AI systems to improve model performance iteratively using methodologies like A/B testing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Agile ceremonies to enhance project workflow and align AI development tasks with organizational objectives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AI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robustness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AI project requirements and expectations, aligning technological solutions with business goals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with advanced features tailored to client specifications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back-end services for enterprise applications, focusing on performance improvements and secure coding practices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DevOps pipeline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ensuring smooth transitions between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ensuring interaction between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manipulation and retrieval in a structured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responsive and adaptive designs, maximizing usability while working within established branding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complex SQL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responsiveness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 and collaborated in team environments through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and oversight.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tests and integration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software quality and minimal defects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departments to identify system improvement areas, contributing innovative solutions that aligned with business objectives and technology advancements, maintaining a forward-focused mindset.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through online courses and workshops, allowing for the adoption of new technologies and methodologies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