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agentic systems and generative AI applications. Proven track record in designing secure, scalable architectures using Python, TypeScript, and leading frameworks. Demonstrated expertise in architecting multi-agent systems and integrating enterprise tools, along with a commitment to maintaining high standards of observability and security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LangChain, LangGraph, CrewAI, Haystack, Microsoft AutoGen, LlamaIndex, Semantic Kernel, Azure OpenAI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Azure AI Search, Pinecone, Milvus, Weaviate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CI/CD, Git, Terraform, OpenTelemetry,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Functions, AWS Lambda, Google Cloud Functions, Azure AI Studio,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MLOps &amp; Observability:</w:t>
      </w:r>
      <w:r w:rsidRPr="00106EA3">
        <w:rPr>
          <w:rFonts w:ascii="Roboto Light" w:eastAsia="Roboto Light" w:hAnsi="Roboto Light" w:cs="Roboto Light"/>
          <w:sz w:val="20"/>
          <w:szCs w:val="20"/>
        </w:rPr>
        <w:t xml:space="preserve"> Prometheus, Grafana, Sentry, Langfuse, Jupyter Notebooks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multi-agent architectures leveraging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Haystack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state management and memory to enhance enterprise productivity across diverse workflows and applications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enterprise tools through function calling and event-driven flows, utilizing </w:t>
      </w:r>
      <w:r w:rsidRPr="00106EA3">
        <w:rPr>
          <w:rFonts w:ascii="Roboto Light" w:eastAsia="Roboto Light" w:hAnsi="Roboto Light" w:cs="Roboto Light"/>
          <w:b/>
          <w:bCs/>
          <w:sz w:val="20"/>
          <w:szCs w:val="20"/>
        </w:rPr>
        <w:t xml:space="preserve">Azure Service 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seamless data transfer and communication between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pipelines incorporating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with vector stores such as </w:t>
      </w:r>
      <w:r w:rsidRPr="00106EA3">
        <w:rPr>
          <w:rFonts w:ascii="Roboto Light" w:eastAsia="Roboto Light" w:hAnsi="Roboto Light" w:cs="Roboto Light"/>
          <w:b/>
          <w:bCs/>
          <w:sz w:val="20"/>
          <w:szCs w:val="20"/>
        </w:rPr>
        <w:t xml:space="preserve">Pinecone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retrieval accuracy and response times in data-intensive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observability tools to define SLIs/SLOs for agent runs, deploying tracing and metrics with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monitoring and operational insights into the performance of complex AI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optimized CI/CD pipelines, implementing feature flags and canary strategies for safe deployment, which consistently reduced downtime and improved the delivery of new features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security frameworks with compliance standards including </w:t>
      </w:r>
      <w:r w:rsidRPr="00106EA3">
        <w:rPr>
          <w:rFonts w:ascii="Roboto Light" w:eastAsia="Roboto Light" w:hAnsi="Roboto Light" w:cs="Roboto Light"/>
          <w:b/>
          <w:bCs/>
          <w:sz w:val="20"/>
          <w:szCs w:val="20"/>
        </w:rPr>
        <w:t xml:space="preserve">ISO 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enterprise solutions adhered to rigorous data privacy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performance dashboards that visualize key metrics and analytics, allowing technical teams to quickly assess agent performance and identify optimization opportunities based on real-time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safety policies in AI systems, utilizing content redaction, classification, and guardrails through policy-as-code principles to ensure secure handling of sensitive information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 teams to translate business processes into agentic designs, effectively presenting trade-off analyses and proofs-of-concept that fostered confidence and led to production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modular components, including planners and evaluators, facilitating reuse across client implementations and improving system agility and sustainability while maintaining high service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evaluation harnesses using tools like </w:t>
      </w:r>
      <w:r w:rsidRPr="00106EA3">
        <w:rPr>
          <w:rFonts w:ascii="Roboto Light" w:eastAsia="Roboto Light" w:hAnsi="Roboto Light" w:cs="Roboto Light"/>
          <w:b/>
          <w:bCs/>
          <w:sz w:val="20"/>
          <w:szCs w:val="20"/>
        </w:rPr>
        <w:t xml:space="preserve">promptfoo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task success, safety, and cost efficiency, thereby enhancing the overall operational integrity of solution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governance initiatives, instituting proactive privacy-first patterns that minimized data exfiltration and enforced least-privilege access controls throughout the agentic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the latest advancements in generative AI technologies, fostering an organizational culture of continuous learning and adaptation across diverse teams working on AI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stakeholders to continuously innovate and iterate on agentic system designs, embracing an agile methodology to advance enterprise AI capabilities while ensuring business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communicated technical documentation clearly to both technical and non-technical stakeholders, solidifying understanding and paving the way for better collaboration within cross-functional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employing best coding practices and leading software engineering methodologies to deliver high-quality solutions tailored to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environment, participating in daily stand-ups and sprint planning meetings, which fostered dynamic discussion and efficient issue resolution across various technical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for internal applications to enable seamless integration and data exchange between software components, enhancing overall efficiency across departmental functions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databases using mainly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performance and ensuring the reliability of data through various backup and recovery strategies employed.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prototype applications with early implementations of AI functionalities that enhanced user engagement and resulted in improved feedback metrics from initial testing phases with select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coding standards and best practices, providing actionable feedback to peers for code enhancement and system reliability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Azure DevOps solutions for Continuous Integration and Continuous Deployment (CI/CD), reducing deployment time significantly while ensuring the integrity of the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ensuring technical solutions met business needs, facilitating user acceptance testing (UAT) to achieve high user satisfaction rates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UI components, improving end-user experience and interactivity across desktop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aimed at upskilling junior developers in software practices, emphasizing the importance of clean code, scalability, and agile methodologies to create high-performing software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applications, enabling expanded functionality and new features while maintaining compliance with industry standards and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long-term system architecture planning, providing insights on emerging technologies and trends that could enhance the capabilities and performance of future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