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Scientist with 11 years of experience in software development, specializing in machine learning applications for drug discovery, collaborating across diverse scientific teams to ensure innovative solutions that advance research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C++, Java, Scala, SQL, JavaScript,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Libraries:</w:t>
      </w:r>
      <w:r w:rsidRPr="00106EA3">
        <w:rPr>
          <w:rFonts w:ascii="Roboto Light" w:eastAsia="Roboto Light" w:hAnsi="Roboto Light" w:cs="Roboto Light"/>
          <w:sz w:val="20"/>
          <w:szCs w:val="20"/>
        </w:rPr>
        <w:t xml:space="preserve"> PyTorch, TensorFlow, scikit-learn, Keras, NLTK, spaCy, XGBoost, CatBoost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Tools:</w:t>
      </w:r>
      <w:r w:rsidRPr="00106EA3">
        <w:rPr>
          <w:rFonts w:ascii="Roboto Light" w:eastAsia="Roboto Light" w:hAnsi="Roboto Light" w:cs="Roboto Light"/>
          <w:sz w:val="20"/>
          <w:szCs w:val="20"/>
        </w:rPr>
        <w:t xml:space="preserve"> Pandas, NumPy, RDKit, DeepChem, OpenFold, ChemProp, Polars, DGL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Modeling &amp; Frameworks:</w:t>
      </w:r>
      <w:r w:rsidRPr="00106EA3">
        <w:rPr>
          <w:rFonts w:ascii="Roboto Light" w:eastAsia="Roboto Light" w:hAnsi="Roboto Light" w:cs="Roboto Light"/>
          <w:sz w:val="20"/>
          <w:szCs w:val="20"/>
        </w:rPr>
        <w:t xml:space="preserve"> Large Language Models (LLMs), Boltz, AlphaFold, Deep Reinforcement Learning, Generative Adversarial Networks (GANs), Affinity Prediction Models, ADMET Modeling, Co-folding Techniques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Jupyter Notebooks, VS Code, Conda, Makefile,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into small molecule drug discovery, driving innovative solutions to optimize selectivity windows and improve drug-like properties through data-driven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validated </w:t>
      </w:r>
      <w:r w:rsidRPr="00106EA3">
        <w:rPr>
          <w:rFonts w:ascii="Roboto Light" w:eastAsia="Roboto Light" w:hAnsi="Roboto Light" w:cs="Roboto Light"/>
          <w:b/>
          <w:bCs/>
          <w:sz w:val="20"/>
          <w:szCs w:val="20"/>
        </w:rPr>
        <w:t xml:space="preserve">large language models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generating actionable design hypotheses by synthesizing complex outputs, ensuring alignment with strategic drug discovery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scientific teams, including </w:t>
      </w:r>
      <w:r w:rsidRPr="00106EA3">
        <w:rPr>
          <w:rFonts w:ascii="Roboto Light" w:eastAsia="Roboto Light" w:hAnsi="Roboto Light" w:cs="Roboto Light"/>
          <w:b/>
          <w:bCs/>
          <w:sz w:val="20"/>
          <w:szCs w:val="20"/>
        </w:rPr>
        <w:t xml:space="preserve">medicinal chemists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structural biologists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structure-activity relationships (SAR) and incorporate structural insights into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mentored team members in the application and development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practices and production-quality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and excellence in model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application of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like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sophisticated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predictive accuracy for critical drug discovery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projects involving co-folding algorithms, utilizing tools like </w:t>
      </w:r>
      <w:r w:rsidRPr="00106EA3">
        <w:rPr>
          <w:rFonts w:ascii="Roboto Light" w:eastAsia="Roboto Light" w:hAnsi="Roboto Light" w:cs="Roboto Light"/>
          <w:b/>
          <w:bCs/>
          <w:sz w:val="20"/>
          <w:szCs w:val="20"/>
        </w:rPr>
        <w:t xml:space="preserve">AlphaFold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deepen molecular insights that significantly contributed to the success of drug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complex data sets and machine learning outputs to derive clear recommendations used by cross-functional teams for key program decisions in drug discovery.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key findings and model insights to diverse stakeholders, enhancing cross-team communication and driving consensus on actionable outcomes in drug discovery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applications of </w:t>
      </w:r>
      <w:r w:rsidRPr="00106EA3">
        <w:rPr>
          <w:rFonts w:ascii="Roboto Light" w:eastAsia="Roboto Light" w:hAnsi="Roboto Light" w:cs="Roboto Light"/>
          <w:b/>
          <w:bCs/>
          <w:sz w:val="20"/>
          <w:szCs w:val="20"/>
        </w:rPr>
        <w:t xml:space="preserve">chemoinformatics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DeepChem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ChemProp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compound development and advance drug discovery milestones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 structural biologists to integrate insights from </w:t>
      </w:r>
      <w:r w:rsidRPr="00106EA3">
        <w:rPr>
          <w:rFonts w:ascii="Roboto Light" w:eastAsia="Roboto Light" w:hAnsi="Roboto Light" w:cs="Roboto Light"/>
          <w:b/>
          <w:bCs/>
          <w:sz w:val="20"/>
          <w:szCs w:val="20"/>
        </w:rPr>
        <w:t xml:space="preserve">co-folding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of </w:t>
      </w:r>
      <w:r w:rsidRPr="00106EA3">
        <w:rPr>
          <w:rFonts w:ascii="Roboto Light" w:eastAsia="Roboto Light" w:hAnsi="Roboto Light" w:cs="Roboto Light"/>
          <w:b/>
          <w:bCs/>
          <w:sz w:val="20"/>
          <w:szCs w:val="20"/>
        </w:rPr>
        <w:t xml:space="preserve">ML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experimental data, significantly enhancing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production-ready </w:t>
      </w:r>
      <w:r w:rsidRPr="00106EA3">
        <w:rPr>
          <w:rFonts w:ascii="Roboto Light" w:eastAsia="Roboto Light" w:hAnsi="Roboto Light" w:cs="Roboto Light"/>
          <w:b/>
          <w:bCs/>
          <w:sz w:val="20"/>
          <w:szCs w:val="20"/>
        </w:rPr>
        <w:t xml:space="preserve">coding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the seamless integration of machine learning models into the operational workflow, optimizing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infrastructure for managing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drug discovery, enabling faster iterations and improving the reliability of </w:t>
      </w:r>
      <w:r w:rsidRPr="00106EA3">
        <w:rPr>
          <w:rFonts w:ascii="Roboto Light" w:eastAsia="Roboto Light" w:hAnsi="Roboto Light" w:cs="Roboto Light"/>
          <w:b/>
          <w:bCs/>
          <w:sz w:val="20"/>
          <w:szCs w:val="20"/>
        </w:rPr>
        <w:t xml:space="preserve">predictive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high-stakes program decisions through effective data synthesis, enabling teams to make informed choices at critical junctures of the drug discovery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adaptability for evolving research needs, driving forward the company's strategic objectives in small molecule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strategic partner to interdisciplinary teams, ensuring that </w:t>
      </w:r>
      <w:r w:rsidRPr="00106EA3">
        <w:rPr>
          <w:rFonts w:ascii="Roboto Light" w:eastAsia="Roboto Light" w:hAnsi="Roboto Light" w:cs="Roboto Light"/>
          <w:b/>
          <w:bCs/>
          <w:sz w:val="20"/>
          <w:szCs w:val="20"/>
        </w:rPr>
        <w:t xml:space="preserve">ML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with broader scientific and commercial goals, ultimately driving success in drug discovery endeavors.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enterprise-grade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improvements, ensuring that platform capabilities could manage complex data interactions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UI/UX designs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functional components, enhancing application usability and overall user experience across several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interaction between front-end interfaces and server-side applications, enhancing data accessibility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and deliverables, ensuring on-time completion of major milestones while adapting to feedback and changing requirements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release cycles and application deployment efficiency across multiple production environments for ongoing software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database architectures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optimizing query performance and ensuring data integrity across complex applications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practices to uphold and improve code quality standards among the development team, ensuring efficiency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development environments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enhanced scalability options and easier management of microservices architecture during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advanced functionalities while ensuring robust security measures were in place to safeguard sensitive data and system integrity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in-depth knowledge of </w:t>
      </w: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both development and mentorship of junior engineers in best practices and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employing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robustness of applications through rigorous validation processes and systematic problem-solving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strategically to product roadmaps, aligning technical capabilities with business priorities to improve service delivery and enhance customer satisfaction metrics across project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