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React front-end development, proficient in creating accessible web applications following WCAG 2.2 standards. Strong background in Agile methodologies, CI/CD, and cloud solutions, paired with strong problem-solving and collaborative capabilities to drive successful project executions.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HTML, CSS, REST APIs, Keycloak,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Maven, AWS, Linux,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2.2, Section 508, JAWS, Accessibility Testing, Screen Readers, UI/UX Design, Auditing Tools, Compliance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DevOps, Software Documentation, Collaboration, Version Control, Risk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 Computing, Microservices, CloudFormation, S3, Lambda Functions, API Gateway,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Problem Solving, Adaptability, Collaboration, Detail-oriented, Communication, Critical Thinking, Customer Focused, Team Player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responsive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 and collaboration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ensuring application stability during updates and version management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documentation, including user manuals and technical specifications, to ensure clarity and usability for both clients and internal development teams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management and authentication, enhancing security protocols while allowing a seamless user experience,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interactions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applications for accessibility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ensuring that developed solutions were not only functional but also accessible to all users, aligning with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stakeholders to create user-centered designs, adhering to industry standards and company policies, leading to enhanced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debugging sessions to ensure code quality and cross-browser compatibility, contributing to team knowledge sharing and increased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backlog refinement, and retrospectives to iterate on project deliverables and improve processes continuously. Developed feature enhancements promptly.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inclusive coding environment while meeting strict deadlines and maintaining high standards of project quality and accessibility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translate business requirements into technical solutions, effectively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resulting in improved team performance and project delivery times, with a focus on maintaining high-quality standards and user-focused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backend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interaction and dynamic capabilities of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code quality principles while promoting a culture of knowledge sharing to enhance team growth and capability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maintained cloud-based environments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scalable and efficient application hosting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for future use within the organization, proactively addressing performance optimization and adherence to accessibility best practices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conducted accessibility audits using industry-standard tools, resulting in comprehensive compliance and awareness of best practices among team members, fostering an inclusive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