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technology professional with over 11 years of experience in software development, focusing on web and mobile applications. Demonstrated expertise in artificial intelligence, machine learning, and crafting actionable insights for enterprise-level clients. Proven ability to lead innovative projects that enhance AI-driven systems, effectively engage with stakeholders, and deliver high-quality technical analysis.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C#, R, Swift,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Keras, Scikit-learn, OpenAI, Natural Language Processing (NLP), Computer Vision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React, Angular, Node.js, Unity, ROS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Platform (GCP),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Hadoop, Spark, Kafka,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Continuous Integration/Continuous Delivery (CI/CD), Version Control (Git), Test-Driven Development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AI engineers to develop </w:t>
      </w:r>
      <w:r w:rsidRPr="00106EA3">
        <w:rPr>
          <w:rFonts w:ascii="Roboto Light" w:eastAsia="Roboto Light" w:hAnsi="Roboto Light" w:cs="Roboto Light"/>
          <w:b/>
          <w:bCs/>
          <w:sz w:val="20"/>
          <w:szCs w:val="20"/>
        </w:rPr>
        <w:t xml:space="preserve">robotic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seamlessly integrated </w:t>
      </w:r>
      <w:r w:rsidRPr="00106EA3">
        <w:rPr>
          <w:rFonts w:ascii="Roboto Light" w:eastAsia="Roboto Light" w:hAnsi="Roboto Light" w:cs="Roboto Light"/>
          <w:b/>
          <w:bCs/>
          <w:sz w:val="20"/>
          <w:szCs w:val="20"/>
        </w:rPr>
        <w:t xml:space="preserve">AI-driven perception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real-time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automating complex industrial tasks across diverse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into emerging trends in </w:t>
      </w:r>
      <w:r w:rsidRPr="00106EA3">
        <w:rPr>
          <w:rFonts w:ascii="Roboto Light" w:eastAsia="Roboto Light" w:hAnsi="Roboto Light" w:cs="Roboto Light"/>
          <w:b/>
          <w:bCs/>
          <w:sz w:val="20"/>
          <w:szCs w:val="20"/>
        </w:rPr>
        <w:t xml:space="preserve">physical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implications on </w:t>
      </w:r>
      <w:r w:rsidRPr="00106EA3">
        <w:rPr>
          <w:rFonts w:ascii="Roboto Light" w:eastAsia="Roboto Light" w:hAnsi="Roboto Light" w:cs="Roboto Light"/>
          <w:b/>
          <w:bCs/>
          <w:sz w:val="20"/>
          <w:szCs w:val="20"/>
        </w:rPr>
        <w:t xml:space="preserve">enterprise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strategic insights that guided organizational decision-making and aligned with client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w:t>
      </w:r>
      <w:r w:rsidRPr="00106EA3">
        <w:rPr>
          <w:rFonts w:ascii="Roboto Light" w:eastAsia="Roboto Light" w:hAnsi="Roboto Light" w:cs="Roboto Light"/>
          <w:b/>
          <w:bCs/>
          <w:sz w:val="20"/>
          <w:szCs w:val="20"/>
        </w:rPr>
        <w:t xml:space="preserve">strategic barriers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faced by clients, deploying analytical techniques that drove innovative solutions and reframed challenges into actionable strategies for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high-quality presentations at major industry events, showcasing thought leadership in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demonstrating the transformational potential of technology to varied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brainstorming sessions to innovate new product features and enhancements, leveraging insights from industry research to ensure alignment with market needs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comprehensive </w:t>
      </w:r>
      <w:r w:rsidRPr="00106EA3">
        <w:rPr>
          <w:rFonts w:ascii="Roboto Light" w:eastAsia="Roboto Light" w:hAnsi="Roboto Light" w:cs="Roboto Light"/>
          <w:b/>
          <w:bCs/>
          <w:sz w:val="20"/>
          <w:szCs w:val="20"/>
        </w:rPr>
        <w:t xml:space="preserve">market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data from competitive landscapes to forecast trends and shifts, enabling clients to remain proactive amidst technological advances.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for briefings and consultations, effectively communicating intricate information related to AI methodologies and practices, while ensuring robust understanding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data synthesis and research methodologies, fostering a culture of continuous improvement and knowledge sharing that optimized team performance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 series of white papers on the intersection of </w:t>
      </w:r>
      <w:r w:rsidRPr="00106EA3">
        <w:rPr>
          <w:rFonts w:ascii="Roboto Light" w:eastAsia="Roboto Light" w:hAnsi="Roboto Light" w:cs="Roboto Light"/>
          <w:b/>
          <w:bCs/>
          <w:sz w:val="20"/>
          <w:szCs w:val="20"/>
        </w:rPr>
        <w:t xml:space="preserve">AI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business strategy, contributing to the knowledge base that supported Gartner's advisory services and client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techniques and tools to present complex information clearly and concisely, enhancing client comprehension of integral insights and facilitating strategic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stakeholder feedback into research outputs, adapting strategies proactively based on client interactions and evolving market dynamics, which enhanced the relevance and immediacy of insights delivered.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enhanced data accessibility and collaboration across global teams, ensuring operational continuity and responsiveness to client needs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helping to shape the vision and goals of the AI practice while ensuring alignment with overarching business objectives based on industry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aimed at educating clients on the utilization of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systems, empowering them to optimize their operational models and leverage groundbreaking technologies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thought leadership initiatives, contributing innovative ideas and analytical input that shaped Gartner's strategic offerings in the </w:t>
      </w:r>
      <w:r w:rsidRPr="00106EA3">
        <w:rPr>
          <w:rFonts w:ascii="Roboto Light" w:eastAsia="Roboto Light" w:hAnsi="Roboto Light" w:cs="Roboto Light"/>
          <w:b/>
          <w:bCs/>
          <w:sz w:val="20"/>
          <w:szCs w:val="20"/>
        </w:rPr>
        <w:t xml:space="preserve">artificial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client engagement for diverse business solutions while adhering to best practices in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improving client systems by creating data-driven solutions that contributed to strategic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to optimize code performance and efficiency, employing profiling tools that facilitated the identification of bottlenecks and led to substantive improvements in application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design, integrating front and back-end technologies, notably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applications that are agile to respond to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activities, conducting requirements gathering sessions that informed software design and ensuring that end-user needs were met through thoughtful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and user guides to support software deployment processes, aiding customers in navigating complex functionalities with ease and confidence.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strategies that elevated the software quality assurance process, ensuring high standards of reliability and performance through robust testing protocols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manage infrastructure, ensuring that solutions were effective, accessible, and aligned with the organization's goals for innovation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designed to enhance team collaboration and productivity, streamlining workflows and improving communication across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scrums, facilitating team discussions and promoting iterative improvements to development processes while ensuring alignment with project timelines and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data retrieval operations and supporting high-demand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mastering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architecture principles, fostering a collaborative learning environment that motivated team members to grow and further develop their skills.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