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Partner Solution Architect with over 11 years in software development, focusing on building integrations and solutions in diverse tech environments. Proven expertise in guiding partners through architectural complexities and driving technical enablement. Adept in leveraging data analytics to derive actionable insights, fostering innovation and adoption in AI-driven platforms.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JavaScript, SQL,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GCP, Kubernetes,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Spark, Kafka, NoSQL, GraphQL, PostgreSQL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Angular, Django, Flask,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Jenkins, Git, Terraform, Ansible, Prometheus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Analytics:</w:t>
      </w:r>
      <w:r w:rsidRPr="00106EA3">
        <w:rPr>
          <w:rFonts w:ascii="Roboto Light" w:eastAsia="Roboto Light" w:hAnsi="Roboto Light" w:cs="Roboto Light"/>
          <w:sz w:val="20"/>
          <w:szCs w:val="20"/>
        </w:rPr>
        <w:t xml:space="preserve"> Tableau, Power BI, TensorFlow, Hadoop, Trino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strategic technical discussions with partner engineers for integration projects on the VAST Data platform, ensuring alignment on solution architecture by applying </w:t>
      </w:r>
      <w:r w:rsidRPr="00106EA3">
        <w:rPr>
          <w:rFonts w:ascii="Roboto Light" w:eastAsia="Roboto Light" w:hAnsi="Roboto Light" w:cs="Roboto Light"/>
          <w:b/>
          <w:bCs/>
          <w:sz w:val="20"/>
          <w:szCs w:val="20"/>
        </w:rPr>
        <w:t xml:space="preserve">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throughout.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engineering and product teams to refine API integrations, utilizing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 processes, optimizing system performance and reliability across partner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proof-of-concept applications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demonstrate joint solution capabilities for partner products, facilitating enhanced learning and adoption paths for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training sessions for partner technical teams, enhancing their familiarity with </w:t>
      </w:r>
      <w:r w:rsidRPr="00106EA3">
        <w:rPr>
          <w:rFonts w:ascii="Roboto Light" w:eastAsia="Roboto Light" w:hAnsi="Roboto Light" w:cs="Roboto Light"/>
          <w:b/>
          <w:bCs/>
          <w:sz w:val="20"/>
          <w:szCs w:val="20"/>
        </w:rPr>
        <w:t xml:space="preserve">VAST's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features and functionalities, while promoting best practices in </w:t>
      </w:r>
      <w:r w:rsidRPr="00106EA3">
        <w:rPr>
          <w:rFonts w:ascii="Roboto Light" w:eastAsia="Roboto Light" w:hAnsi="Roboto Light" w:cs="Roboto Light"/>
          <w:b/>
          <w:bCs/>
          <w:sz w:val="20"/>
          <w:szCs w:val="20"/>
        </w:rPr>
        <w:t xml:space="preserve">data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 computing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over 15 architecture diagrams and technical briefs for joint partner implementations, capturing essential workflows and enabling partners to operationalize complex integrations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focused on </w:t>
      </w:r>
      <w:r w:rsidRPr="00106EA3">
        <w:rPr>
          <w:rFonts w:ascii="Roboto Light" w:eastAsia="Roboto Light" w:hAnsi="Roboto Light" w:cs="Roboto Light"/>
          <w:b/>
          <w:bCs/>
          <w:sz w:val="20"/>
          <w:szCs w:val="20"/>
        </w:rPr>
        <w:t xml:space="preserve">AI/ML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pipelines, leveraging industry insights to drive the development of tailored solutions for diverse customer segments.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emerging technologies and industry trends in </w:t>
      </w: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influencing VAST product and architectural strategies to ensure competitiveness and alignment with market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strong relationships with key stakeholders, using </w:t>
      </w:r>
      <w:r w:rsidRPr="00106EA3">
        <w:rPr>
          <w:rFonts w:ascii="Roboto Light" w:eastAsia="Roboto Light" w:hAnsi="Roboto Light" w:cs="Roboto Light"/>
          <w:b/>
          <w:bCs/>
          <w:sz w:val="20"/>
          <w:szCs w:val="20"/>
        </w:rPr>
        <w:t xml:space="preserve">communication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collaboration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skills to advocate for partner needs and shape engagement strategies that drive measurable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partner readiness programs by creating extensive documentation on best practices, fostering a culture of continuous improvement and innovation in solution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represented VAST at industry conferences, showcasing successful implementations with ISVs, effectively positioning the company as a leading solutions provider in the </w:t>
      </w:r>
      <w:r w:rsidRPr="00106EA3">
        <w:rPr>
          <w:rFonts w:ascii="Roboto Light" w:eastAsia="Roboto Light" w:hAnsi="Roboto Light" w:cs="Roboto Light"/>
          <w:b/>
          <w:bCs/>
          <w:sz w:val="20"/>
          <w:szCs w:val="20"/>
        </w:rPr>
        <w:t xml:space="preserve">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markets.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technical validations across multiple integrations to meet stringent compatibility and performance requirements, ensuring secure and reliable deployment of partner solutions on the VAST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development of demo kits and sample code repositories for partners, driving faster time-to-market for joint solutions and improving overall partner satisfaction rates.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in agile environments to resolve complex technical challenges, leveraging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project transparency and manage workflow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co-innovation initiatives with partners, identifying opportunities for joint product enhancements that leverage shared customer insights and emerging technology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Influenced product roadmaps by providing actionable feedback from partner engagements, ensuring alignment with the evolving market needs of enterprise data management solutions.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development of multiple high-availability applications at Microsoft, utilizing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smooth scalability and optimal performance in a dynamic cloud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robust backend services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with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and optimizing application responsiveness for enterprise clients in various sectors.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on Agile projects, employing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enhance code deployment efficiency through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and infrastructure as code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automated testing frameworks with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application reliability, significantly reducing bug resolution times while maintaining high-quality software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software engineers in best practices for developing scalable applications, emphasizing code quality and </w:t>
      </w:r>
      <w:r w:rsidRPr="00106EA3">
        <w:rPr>
          <w:rFonts w:ascii="Roboto Light" w:eastAsia="Roboto Light" w:hAnsi="Roboto Light" w:cs="Roboto Light"/>
          <w:b/>
          <w:bCs/>
          <w:sz w:val="20"/>
          <w:szCs w:val="20"/>
        </w:rPr>
        <w:t xml:space="preserve">design patterns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foster consistency and maintainability in programming tasks.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real-time data processing frameworks using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capabilities for processing and analyzing large data sets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reviews, providing insights on optimizing services and adopting new technologies aligned with enterprise cloud strategies and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successful migration of legacy applications to the cloud, implementing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to improve modularity and ease future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ensuring security and performance, facilitating seamless data exchange for mobile and web applications hosted on Azure cloud infrastructure.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client discussions to gather business requirements, translating these into technical specifications that guide efficient software development and enable customer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team members in using version control systems effectively, promoting best practices for collaboration and source code management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to iterate on product features for improving user engagement, implementing enhancements based on qualitative and quantitative research insights.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