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in technical leadership, architectural design, and AI integration, committed to driving innovation and collaboration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Golang, Angular, Django, Flask,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Kubernetes, Docker, Microservices,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Terraform, Prometheus, Grafana,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SQL, NoSQL, MongoDB, PostgreSQL, Vector Databases,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MLOps, GenAI, TensorFlow, PyTorch, RAG, AI Governance, Data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t>
      </w:r>
      <w:r w:rsidRPr="00106EA3">
        <w:rPr>
          <w:rFonts w:ascii="Roboto Light" w:eastAsia="Roboto Light" w:hAnsi="Roboto Light" w:cs="Roboto Light"/>
          <w:b/>
          <w:bCs/>
          <w:sz w:val="20"/>
          <w:szCs w:val="20"/>
        </w:rPr>
        <w:t xml:space="preserve">technical leadership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overseeing engineering teams to ensure the delivery of high-quality, scalable software solutions across multiple projects, adhering to best practices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robust and maintainable systems utilizing cloud-native practices,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and performance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by fostering technical growth through code reviews, pair programming, and regular knowledge-sharing sessions, thereby enhancing the team's overall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innovative tools and frameworks,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improve organizational efficiency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ensuring effective communication between architecture, QA, DevOps, and product management stakeholders to align on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workflows, focusing on </w:t>
      </w:r>
      <w:r w:rsidRPr="00106EA3">
        <w:rPr>
          <w:rFonts w:ascii="Roboto Light" w:eastAsia="Roboto Light" w:hAnsi="Roboto Light" w:cs="Roboto Light"/>
          <w:b/>
          <w:bCs/>
          <w:sz w:val="20"/>
          <w:szCs w:val="20"/>
        </w:rPr>
        <w:t xml:space="preserve">LLM-based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prompt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within software applications and driving improvements in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testing and deployment automation, which increased the reliability and speed of delivery for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responsible </w:t>
      </w:r>
      <w:r w:rsidRPr="00106EA3">
        <w:rPr>
          <w:rFonts w:ascii="Roboto Light" w:eastAsia="Roboto Light" w:hAnsi="Roboto Light" w:cs="Roboto Light"/>
          <w:b/>
          <w:bCs/>
          <w:sz w:val="20"/>
          <w:szCs w:val="20"/>
        </w:rPr>
        <w:t xml:space="preserve">AI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regulatory standards and ethical guidelines, addressing concerns related to data privacy and security in AI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adoption, promoting consistency in application development and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knowledge forums to stay ahead of emerging trends in software development, particularly in the realms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standards and best practices that improved code reliability and maintainability, directly influencing the team’s efficiency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peer-to-peer feedback sessions, promoting an environment conducive to cooperative learning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for assessing the implementation of emerging technologies in workflow optimization, particularly with regard to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for existing applications, identifying bottlenecks and deploying best practices to enhance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cloud-native architecture principles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skills and align with current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user-friendly web platforms, focusing on reusable components and accessibility standards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microservices, leveraging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scalable backend services while implementing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high-quality software delivery and facilitating agile methodologies across several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software requirements, translating them into functional specifications and implementing them through industry-standard frameworks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manage databases, and optimize the delivery of software through containerization and orchestration mechanisms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to promote coding best practices and maintain high standards of code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scientists to integrate machine learning models into production applications, exploring tools and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intelligent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implementation of AI tools, ensuring adherence to ethical guidelines in AI development and deployment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documentation, ensuring that architectural decisions and system designs were clearly outlined for future reference and onboarding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hires, fostering a culture of knowledge sharing and continuous improvement to enhance team dynamics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utilizing agile project management tools to facilitate sprint planning and stand-up meetings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the user experience, contributing to design discussions focused on UI/UX best practices and technical feasibility for web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