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comprehensive experience in developing and integrating interfaces in healthcare applications, focusing on HL7 standards, Cloverleaf, and various clinical systems to enhance interoperability. Proficient in XML, XPATH, and TCL scripting, with a strong background in database management and healthcare integration solutions. Greatly skilled in collaboration with cross-functional teams to optimize interface configurations and continually improve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C++, TCL,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Interface Technologies:</w:t>
      </w:r>
      <w:r w:rsidRPr="00106EA3">
        <w:rPr>
          <w:rFonts w:ascii="Roboto Light" w:eastAsia="Roboto Light" w:hAnsi="Roboto Light" w:cs="Roboto Light"/>
          <w:sz w:val="20"/>
          <w:szCs w:val="20"/>
        </w:rPr>
        <w:t xml:space="preserve"> Cloverleaf, HL7, XML, XPATH, Health Level Seven (HL7)</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SQL Server, MySQL, PostgreSQL, MongoDB,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Spring, Django, Flask,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Windows Server, Linux, Unix, Mac OS, iOS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programmed high-quality </w:t>
      </w:r>
      <w:r w:rsidRPr="00106EA3">
        <w:rPr>
          <w:rFonts w:ascii="Roboto Light" w:eastAsia="Roboto Light" w:hAnsi="Roboto Light" w:cs="Roboto Light"/>
          <w:b/>
          <w:bCs/>
          <w:sz w:val="20"/>
          <w:szCs w:val="20"/>
        </w:rPr>
        <w:t xml:space="preserve">HL7</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interfaces utilizing </w:t>
      </w:r>
      <w:r w:rsidRPr="00106EA3">
        <w:rPr>
          <w:rFonts w:ascii="Roboto Light" w:eastAsia="Roboto Light" w:hAnsi="Roboto Light" w:cs="Roboto Light"/>
          <w:b/>
          <w:bCs/>
          <w:sz w:val="20"/>
          <w:szCs w:val="20"/>
        </w:rPr>
        <w:t xml:space="preserve">Cloverleaf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exchange processes between clinical systems, including Epic and LabCorp, enhancing overall interoperability in healthcare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optimized new interface standards with the </w:t>
      </w:r>
      <w:r w:rsidRPr="00106EA3">
        <w:rPr>
          <w:rFonts w:ascii="Roboto Light" w:eastAsia="Roboto Light" w:hAnsi="Roboto Light" w:cs="Roboto Light"/>
          <w:b/>
          <w:bCs/>
          <w:sz w:val="20"/>
          <w:szCs w:val="20"/>
        </w:rPr>
        <w:t xml:space="preserve">ARIA Connect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applying knowledge of industry messaging protocols, resulting in streamlined integration for diverse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and support on interface requirements, collaborating with clinical teams and IT staff to facilitate efficient problem resolution and process enhancements in the healthcare domain.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existing interfaces to ensure compliance with </w:t>
      </w:r>
      <w:r w:rsidRPr="00106EA3">
        <w:rPr>
          <w:rFonts w:ascii="Roboto Light" w:eastAsia="Roboto Light" w:hAnsi="Roboto Light" w:cs="Roboto Light"/>
          <w:b/>
          <w:bCs/>
          <w:sz w:val="20"/>
          <w:szCs w:val="20"/>
        </w:rPr>
        <w:t xml:space="preserve">HL7</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performing rigorous testing and validation of data transformation processes, which led to improved system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detailed interface specification documents, coordinating data mapping and structure using </w:t>
      </w:r>
      <w:r w:rsidRPr="00106EA3">
        <w:rPr>
          <w:rFonts w:ascii="Roboto Light" w:eastAsia="Roboto Light" w:hAnsi="Roboto Light" w:cs="Roboto Light"/>
          <w:b/>
          <w:bCs/>
          <w:sz w:val="20"/>
          <w:szCs w:val="20"/>
        </w:rPr>
        <w:t xml:space="preserve">XML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XPATH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systems adhere to technical and compliance requirements for patient data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meetings to discuss project milestones, adaptations to interface requirements, and technology improvements, highlighting the importance of effective communication and teamwork in lead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Reported and resolved complex interface issues, adapting to evolving customer needs and technological advances, which directly contributed to higher customer satisfaction ratings and service efficacy.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troubleshooting skills in both </w:t>
      </w:r>
      <w:r w:rsidRPr="00106EA3">
        <w:rPr>
          <w:rFonts w:ascii="Roboto Light" w:eastAsia="Roboto Light" w:hAnsi="Roboto Light" w:cs="Roboto Light"/>
          <w:b/>
          <w:bCs/>
          <w:sz w:val="20"/>
          <w:szCs w:val="20"/>
        </w:rPr>
        <w:t xml:space="preserve">Windows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Cloverleaf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to address technical challenges, ensuring minimal disruption for end-users and fostering effective service delivery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testing and quality assurance for all developed interfaces, applying best practices to identify potential bottlenecks, which promoted system stability across healthcare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ongoing documentation of system configurations and interface adjustments, facilitating clearer communication across project teams and enhancing knowledge transfer for future onboarding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engineering teams to identify and implement enhancements based on user feedback, thereby continuously refining interface functionalities for improved clinical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through analytics tools, using insights to expand the capabilities of current integrations and proactively address potential data discrepancies in clinical communications.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and executed change management plans for transitioning interfaces to new systems, guaranteeing comprehensive stakeholder engagement and user acceptance throughout the implementation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emerging technologies and industry trends in healthcare informatics to continually refine interface development strategies in alignment with organizational goals and patient care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third-party vendors and partners to ensure alignment on integration standards, enhancing overall collaborative efforts and facilitating successful data exchanges in clinical environments.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full-stack applications by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seamless integration with backend databases, which resulted in the efficient processing of medical records and patient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agile development teams to design and implement scalable architectures for web and mobile applications, collaborating constantly with designers to enhance user experiences and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mentorship opportunities, encouraging best coding practices among junior developers and contributing to the overall code quality of projects focused on health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RESTful APIs to support mobile and web applications, ensuring robust data handling and security according to healthcare data regulations such as HIPAA.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machine learning algorithms into existing applications to enhance predictive analytics capabilities, transforming data analysis processes in clinical decision-making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systems to cloud-based solutions, improving accessibility and operational efficiency while reducing the overhead costs associated with on-premises infrastructure.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and debugged complex application features, utilizing automated testing frameworks to ensure the functionality of applications under diverse load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refine application interfaces through user testing and feedback, resulting in improved customer satisfaction and usability ratings.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development lifecycle by orchestrating continuous integration and deployment (CI/CD) pipelines, thereby enabling faster release cycles and code deployment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to identify key performance indicators (KPIs) and project goals related to software deployment and enhancements in healthcare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application development processes and deployment strategies, ensuring clarity and continuity for future development efforts and stakeholder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escalated technical issues by leveraging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database optimization techniques, significantly boosting application performance and reducing downtime.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