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Industry Analyst with 11 years of experience in software development, specializing in Data and AI. Proven expertise in market analysis, strategic advisory, and automation tool development within the higher education sector. Exceptional at translating complex data architecture concepts into actionable insights for executive leadership, adept in applying Excel, SQL, Python, and various BI tools to enhance data-driven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SQL, PL/SQL, SAS, MATLAB,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BI Tools:</w:t>
      </w:r>
      <w:r w:rsidRPr="00106EA3">
        <w:rPr>
          <w:rFonts w:ascii="Roboto Light" w:eastAsia="Roboto Light" w:hAnsi="Roboto Light" w:cs="Roboto Light"/>
          <w:sz w:val="20"/>
          <w:szCs w:val="20"/>
        </w:rPr>
        <w:t xml:space="preserve"> Tableau, Power BI, Google Data Studio, Looker, QlikView, Excel, Jupyter, Apache Superset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AI Tools:</w:t>
      </w:r>
      <w:r w:rsidRPr="00106EA3">
        <w:rPr>
          <w:rFonts w:ascii="Roboto Light" w:eastAsia="Roboto Light" w:hAnsi="Roboto Light" w:cs="Roboto Light"/>
          <w:sz w:val="20"/>
          <w:szCs w:val="20"/>
        </w:rPr>
        <w:t xml:space="preserve"> Alteryx, Apache Airflow, DataRobot, Kubernetes, Docker, TensorFlow, PyTorch,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Tools:</w:t>
      </w:r>
      <w:r w:rsidRPr="00106EA3">
        <w:rPr>
          <w:rFonts w:ascii="Roboto Light" w:eastAsia="Roboto Light" w:hAnsi="Roboto Light" w:cs="Roboto Light"/>
          <w:sz w:val="20"/>
          <w:szCs w:val="20"/>
        </w:rPr>
        <w:t xml:space="preserve"> Git, JIRA, Agile Framework, Scrum, Anaconda, Eclipse,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 &amp; Integration:</w:t>
      </w:r>
      <w:r w:rsidRPr="00106EA3">
        <w:rPr>
          <w:rFonts w:ascii="Roboto Light" w:eastAsia="Roboto Light" w:hAnsi="Roboto Light" w:cs="Roboto Light"/>
          <w:sz w:val="20"/>
          <w:szCs w:val="20"/>
        </w:rPr>
        <w:t xml:space="preserve"> Data Lakes, Data Warehousing, ETL Processes, Data Governance, REST APIs, GraphQL, Azure Data Factory, AWS Redshift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client-centric advisory projects focused on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 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w:t>
      </w:r>
      <w:r w:rsidRPr="00106EA3">
        <w:rPr>
          <w:rFonts w:ascii="Roboto Light" w:eastAsia="Roboto Light" w:hAnsi="Roboto Light" w:cs="Roboto Light"/>
          <w:b/>
          <w:bCs/>
          <w:sz w:val="20"/>
          <w:szCs w:val="20"/>
        </w:rPr>
        <w:t xml:space="preserve">complex technical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actionable strategies tailored for executive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market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competitive analysis regarding </w:t>
      </w:r>
      <w:r w:rsidRPr="00106EA3">
        <w:rPr>
          <w:rFonts w:ascii="Roboto Light" w:eastAsia="Roboto Light" w:hAnsi="Roboto Light" w:cs="Roboto Light"/>
          <w:b/>
          <w:bCs/>
          <w:sz w:val="20"/>
          <w:szCs w:val="20"/>
        </w:rPr>
        <w:t xml:space="preserve">data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adoption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to form a foundational base for client recommendations and strategic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structured </w:t>
      </w:r>
      <w:r w:rsidRPr="00106EA3">
        <w:rPr>
          <w:rFonts w:ascii="Roboto Light" w:eastAsia="Roboto Light" w:hAnsi="Roboto Light" w:cs="Roboto Light"/>
          <w:b/>
          <w:bCs/>
          <w:sz w:val="20"/>
          <w:szCs w:val="20"/>
        </w:rPr>
        <w:t xml:space="preserve">evaluation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assessing institutional </w:t>
      </w:r>
      <w:r w:rsidRPr="00106EA3">
        <w:rPr>
          <w:rFonts w:ascii="Roboto Light" w:eastAsia="Roboto Light" w:hAnsi="Roboto Light" w:cs="Roboto Light"/>
          <w:b/>
          <w:bCs/>
          <w:sz w:val="20"/>
          <w:szCs w:val="20"/>
        </w:rPr>
        <w:t xml:space="preserve">data maturity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levels as well as </w:t>
      </w:r>
      <w:r w:rsidRPr="00106EA3">
        <w:rPr>
          <w:rFonts w:ascii="Roboto Light" w:eastAsia="Roboto Light" w:hAnsi="Roboto Light" w:cs="Roboto Light"/>
          <w:b/>
          <w:bCs/>
          <w:sz w:val="20"/>
          <w:szCs w:val="20"/>
        </w:rPr>
        <w:t xml:space="preserve">analytics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conducive to informed decision-making across university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executive-level resources including </w:t>
      </w:r>
      <w:r w:rsidRPr="00106EA3">
        <w:rPr>
          <w:rFonts w:ascii="Roboto Light" w:eastAsia="Roboto Light" w:hAnsi="Roboto Light" w:cs="Roboto Light"/>
          <w:b/>
          <w:bCs/>
          <w:sz w:val="20"/>
          <w:szCs w:val="20"/>
        </w:rPr>
        <w:t xml:space="preserve">white papers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market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presentation materials, ensuring deliverables articulate both strategic and tactical insights aligned with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emerging </w:t>
      </w:r>
      <w:r w:rsidRPr="00106EA3">
        <w:rPr>
          <w:rFonts w:ascii="Roboto Light" w:eastAsia="Roboto Light" w:hAnsi="Roboto Light" w:cs="Roboto Light"/>
          <w:b/>
          <w:bCs/>
          <w:sz w:val="20"/>
          <w:szCs w:val="20"/>
        </w:rPr>
        <w:t xml:space="preserve">AI use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context of higher education, ensuring a robust strategy for implementing cutting-edge technology and enhancing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w:t>
      </w:r>
      <w:r w:rsidRPr="00106EA3">
        <w:rPr>
          <w:rFonts w:ascii="Roboto Light" w:eastAsia="Roboto Light" w:hAnsi="Roboto Light" w:cs="Roboto Light"/>
          <w:b/>
          <w:bCs/>
          <w:sz w:val="20"/>
          <w:szCs w:val="20"/>
        </w:rPr>
        <w:t xml:space="preserve">research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advanced comprehension of </w:t>
      </w:r>
      <w:r w:rsidRPr="00106EA3">
        <w:rPr>
          <w:rFonts w:ascii="Roboto Light" w:eastAsia="Roboto Light" w:hAnsi="Roboto Light" w:cs="Roboto Light"/>
          <w:b/>
          <w:bCs/>
          <w:sz w:val="20"/>
          <w:szCs w:val="20"/>
        </w:rPr>
        <w:t xml:space="preserve">knowledge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accelerated the overall engagement process through innovative technological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integrate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within the firm's </w:t>
      </w:r>
      <w:r w:rsidRPr="00106EA3">
        <w:rPr>
          <w:rFonts w:ascii="Roboto Light" w:eastAsia="Roboto Light" w:hAnsi="Roboto Light" w:cs="Roboto Light"/>
          <w:b/>
          <w:bCs/>
          <w:sz w:val="20"/>
          <w:szCs w:val="20"/>
        </w:rPr>
        <w:t xml:space="preserve">market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consequently streamlining operations to better support client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conferences and public discussions, sharing insights regarding </w:t>
      </w:r>
      <w:r w:rsidRPr="00106EA3">
        <w:rPr>
          <w:rFonts w:ascii="Roboto Light" w:eastAsia="Roboto Light" w:hAnsi="Roboto Light" w:cs="Roboto Light"/>
          <w:b/>
          <w:bCs/>
          <w:sz w:val="20"/>
          <w:szCs w:val="20"/>
        </w:rPr>
        <w:t xml:space="preserve">AI readiness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architecture modernization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raising the firm’s profile within the educational technology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resources aimed at improving analyst productivity through tailored </w:t>
      </w:r>
      <w:r w:rsidRPr="00106EA3">
        <w:rPr>
          <w:rFonts w:ascii="Roboto Light" w:eastAsia="Roboto Light" w:hAnsi="Roboto Light" w:cs="Roboto Light"/>
          <w:b/>
          <w:bCs/>
          <w:sz w:val="20"/>
          <w:szCs w:val="20"/>
        </w:rPr>
        <w:t xml:space="preserve">AI-enabled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that fostered shared knowledge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w:t>
      </w:r>
      <w:r w:rsidRPr="00106EA3">
        <w:rPr>
          <w:rFonts w:ascii="Roboto Light" w:eastAsia="Roboto Light" w:hAnsi="Roboto Light" w:cs="Roboto Light"/>
          <w:b/>
          <w:bCs/>
          <w:sz w:val="20"/>
          <w:szCs w:val="20"/>
        </w:rPr>
        <w:t xml:space="preserve">emerging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collecting insights that influenced both client strategy and internal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educational technology vendors, ensuring alignment on </w:t>
      </w:r>
      <w:r w:rsidRPr="00106EA3">
        <w:rPr>
          <w:rFonts w:ascii="Roboto Light" w:eastAsia="Roboto Light" w:hAnsi="Roboto Light" w:cs="Roboto Light"/>
          <w:b/>
          <w:bCs/>
          <w:sz w:val="20"/>
          <w:szCs w:val="20"/>
        </w:rPr>
        <w:t xml:space="preserve">product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strategic objectives in the realm of higher education analytics and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new product development efforts by delivering insights based on </w:t>
      </w:r>
      <w:r w:rsidRPr="00106EA3">
        <w:rPr>
          <w:rFonts w:ascii="Roboto Light" w:eastAsia="Roboto Light" w:hAnsi="Roboto Light" w:cs="Roboto Light"/>
          <w:b/>
          <w:bCs/>
          <w:sz w:val="20"/>
          <w:szCs w:val="20"/>
        </w:rPr>
        <w:t xml:space="preserve">market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technology trends, significantly impacting MGT’s positioning within the higher education advisory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insights on operational efficiencies through the lens of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to senior executives, facilitating clearer decision paths benefitting numerous educational institutions.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various </w:t>
      </w:r>
      <w:r w:rsidRPr="00106EA3">
        <w:rPr>
          <w:rFonts w:ascii="Roboto Light" w:eastAsia="Roboto Light" w:hAnsi="Roboto Light" w:cs="Roboto Light"/>
          <w:b/>
          <w:bCs/>
          <w:sz w:val="20"/>
          <w:szCs w:val="20"/>
        </w:rPr>
        <w:t xml:space="preserve">AI-driven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effectiveness of client advisory services, integrating them seamlessly within existing workflows to improve overall efficiency and data handling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user manuals and guides that allowed stakeholders to leverage new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user engagement and promoting corporate knowledge transfer.</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user-facing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optimization and ensuring an engaging user experience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administer client feedback sessions which inspired enhancements to existing products and directly influenced the vision for upcoming features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code quality and reliability while ensuring that all new features met rigorous testing standards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to improve maintainability and facilitate integration with modern frameworks, emphasizing scalability while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backend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engineering teams on best practices for </w:t>
      </w:r>
      <w:r w:rsidRPr="00106EA3">
        <w:rPr>
          <w:rFonts w:ascii="Roboto Light" w:eastAsia="Roboto Light" w:hAnsi="Roboto Light" w:cs="Roboto Light"/>
          <w:b/>
          <w:bCs/>
          <w:sz w:val="20"/>
          <w:szCs w:val="20"/>
        </w:rPr>
        <w:t xml:space="preserve">cloud 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agility and alignment with evolving technical needs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methodologies into the software development lifecycle by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leading to improved project visibility and enhanced team collaboration across various project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peers and mentoring junior developers to enhance coding standards and ensure adherence to best practices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scaling of applications while also improving resource management and operational resilience during peak usage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data models to support large datasets, enabling effective data retrieval and visualization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business analytics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employing both </w:t>
      </w:r>
      <w:r w:rsidRPr="00106EA3">
        <w:rPr>
          <w:rFonts w:ascii="Roboto Light" w:eastAsia="Roboto Light" w:hAnsi="Roboto Light" w:cs="Roboto Light"/>
          <w:b/>
          <w:bCs/>
          <w:sz w:val="20"/>
          <w:szCs w:val="20"/>
        </w:rPr>
        <w:t xml:space="preserve">A/B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analytics tools to refine user features, enabling data-driven decisions that enhanced overall product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upskilling to keep pace with emerging technologies, ensuring that the development practices remained at the forefront of the software engineering field.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deliverables to stakeholders which clarified complex processes and surpassed client expectations, aiding in the clarification of enterprise resource planning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