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in software development, specializing in AI/ML systems and scalable architecture for web and mobile applications. Proven track record in leading complex projects, defining technical standards, and crafting innovative solutions using cutting-edge technologies in cloud computing and AI.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Java, JavaScript, TypeScript, C#, SQL, R,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Hugging Face, FastAPI, Flask, Transformers, LangChain, Keras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Microsoft Azure, AWS, Google Cloud Platform, Azure ML, Azure AI Foundry, AWS Lambda,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Architectural Patterns: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Microservices, Serverless, Event-driven, API Design, RESTful Services, GraphQL, SOA, Reactive Programming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MLOps, Git, CI/CD, Terraform, Jenkins, Ansible, Prometheus, Grafana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LLM Deployments, RAG Systems, Multimodal AI Applications, NLP, Data Ingestion Tools, Model Monitoring, Data Lake, Feature Stores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Lead the architectural design and implementation of AI/ML solutions, defining best practices and securing stakeholder buy-in while ensuring compliance with industry standards and regulations for a cloud-native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scalable model deployment, resulting in enhanced CI/CD pipelines and model performance, while mentoring teammates in MLOps methodologies and techniques.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architectural reviews, providing critical feedback and direction to development teams, thereby improving solution designs and aligning with organizational AI strategy and project goals for diverse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 detailed technical roadmap for AI initiatives in alignment with business objectives, collaborating across multiple teams to ensure successful project execution and shared insights into the evolving AI landscape.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recommended cutting-edge AI technologies and platforms, producing a comprehensive report that guided leaders in decision-making towards adopting transformative tools for future projects.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development of high-throughput, low-latency systems at scale,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maximize system resilience and adaptability under varied workloads and performance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refined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seamless interaction between various systems and services, improving data retrieval and system interactions in real-time for multiple applications and clients.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large-scale distributed system projects, demonstrating proficiency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event-driven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handle asynchronous processing and enhance application scalability and reliability during peak transactions.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