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Fund Controller with 11 years of experience in financial reporting and accounting in the private equity and venture capital sectors. Proven expertise in GAAP compliance, utilizing strong analytical skills to provide effective financial management and reporting solutions. Adept at managing client relationships, overseeing financial operations, and leading teams to meet organizational goals in a dynamic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Accounting &amp; Financial Software:</w:t>
      </w:r>
      <w:r w:rsidRPr="00106EA3">
        <w:rPr>
          <w:rFonts w:ascii="Roboto Light" w:eastAsia="Roboto Light" w:hAnsi="Roboto Light" w:cs="Roboto Light"/>
          <w:sz w:val="20"/>
          <w:szCs w:val="20"/>
        </w:rPr>
        <w:t xml:space="preserve"> Microsoft Dynamics GP, QuickBooks, Sage Intacct, BlackLine, NetSuite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Investment Analysis Tools:</w:t>
      </w:r>
      <w:r w:rsidRPr="00106EA3">
        <w:rPr>
          <w:rFonts w:ascii="Roboto Light" w:eastAsia="Roboto Light" w:hAnsi="Roboto Light" w:cs="Roboto Light"/>
          <w:sz w:val="20"/>
          <w:szCs w:val="20"/>
        </w:rPr>
        <w:t xml:space="preserve"> PitchBook, Preqin, Capital IQ, Bloomberg Terminal, FactSet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xml:space="preserve"> Tableau, PowerBI, Excel, Looker, Crystal Reports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Fund Management Technologies:</w:t>
      </w:r>
      <w:r w:rsidRPr="00106EA3">
        <w:rPr>
          <w:rFonts w:ascii="Roboto Light" w:eastAsia="Roboto Light" w:hAnsi="Roboto Light" w:cs="Roboto Light"/>
          <w:sz w:val="20"/>
          <w:szCs w:val="20"/>
        </w:rPr>
        <w:t xml:space="preserve"> Dynamo Accounting™, Orchard, iLEVEL, eFront, FIS Investran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&amp; Data Analysis:</w:t>
      </w:r>
      <w:r w:rsidRPr="00106EA3">
        <w:rPr>
          <w:rFonts w:ascii="Roboto Light" w:eastAsia="Roboto Light" w:hAnsi="Roboto Light" w:cs="Roboto Light"/>
          <w:sz w:val="20"/>
          <w:szCs w:val="20"/>
        </w:rPr>
        <w:t xml:space="preserve"> R, Python, SAS, MATLAB, SPSS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entire financial reporting process for multiple private equity clients, ensuring compliance with </w:t>
      </w:r>
      <w:r w:rsidRPr="00106EA3">
        <w:rPr>
          <w:rFonts w:ascii="Roboto Light" w:eastAsia="Roboto Light" w:hAnsi="Roboto Light" w:cs="Roboto Light"/>
          <w:b/>
          <w:bCs/>
          <w:sz w:val="20"/>
          <w:szCs w:val="20"/>
        </w:rPr>
        <w:t xml:space="preserve">GAAP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significantly improving the quality and timeliness of all financial deliverables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quarterly and annual reports ensuring accurate partnership accounting and adherence to regulatory standards, promoting efficient financial operations within all assigned accounts and compromising with client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day-to-day liaison for clients, establishing strong relationships and comprehending the unique needs of each client to improve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managed a team of Senior Accountants, providing guidance and mentorship while ensuring all deliverables were executed on time,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financial processes which included preparing and e-delivering detailed financial statements and investor reports, streamlining communication channels for enhanced transparency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annual audits by liaising with auditors to ensure accuracy of financial data, drafting footnotes, and making operational adjustments based on audit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the treasury function concerning client operations and cash management which included optimizing lines of credit and enhancing fund allocation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inquiries, developing an effective system for responding to ad hoc questions which included financial information, investor relations, and performance metrics with precise attention to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focused on the use of accounting software and financial reporting tools reinforcing operational methods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compliance with private equity industry standards, identifying potential gaps in processes and developing strategic initiatives to address them, ultimately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plans for financial data analysis, utilizing various software tools to provide actionable insights and assist in making informed business decisions while mitigating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online investor portals through effective data management and regular updating of financial documents, enhancing investor communication and transparency of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investor capital calls and distributions in adherence to partnership agreements, ensuring accuracy and timeliness in financial workflows while managing stakeholders'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to improve fund operations which led to an increase in efficiency and productivity across financial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development initiatives geared towards improving best practices in private equity accounting, contributing to thought leadership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accounting functions and developed financial models for investment strategies within private equity and venture capital spheres, specializing in fund administration and reporting services aligned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analyze financial data, ensuring precision in fund accounting practices while delivering meaningful insights that supported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streamline processes related to investor reporting and capital allocation, increasing stakeholder satisfaction and improving operational efficiencies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w:t>
      </w:r>
      <w:r w:rsidRPr="00106EA3">
        <w:rPr>
          <w:rFonts w:ascii="Roboto Light" w:eastAsia="Roboto Light" w:hAnsi="Roboto Light" w:cs="Roboto Light"/>
          <w:b/>
          <w:bCs/>
          <w:sz w:val="20"/>
          <w:szCs w:val="20"/>
        </w:rPr>
        <w:t xml:space="preserve">K-1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schedules for partnerships, ensuring rigorous compliance with tax regulations and utmost accuracy in financial documentation facilitating smooth investor interactions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financial analysis and prepared presentations for senior management on fund performance, emphasizing strategic insights that drove client confidence and informed planning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rigorous internal controls over financial reporting processes to mitigate risk and ensure compliance with regulatory requirements in partnership accounting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process improvement initiatives that required cross-team collaboration, fostering an environment of innovation and adaptability within the finance team in a fast-paced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Serviced clients through diligent responses to inquiries regarding </w:t>
      </w:r>
      <w:r w:rsidRPr="00106EA3">
        <w:rPr>
          <w:rFonts w:ascii="Roboto Light" w:eastAsia="Roboto Light" w:hAnsi="Roboto Light" w:cs="Roboto Light"/>
          <w:b/>
          <w:bCs/>
          <w:sz w:val="20"/>
          <w:szCs w:val="20"/>
        </w:rPr>
        <w:t xml:space="preserve">waterfall calculations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affecting client relations and compliance interactions positively, fortifying the overall satisfaction rate.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junior accountants focusing on system processes, enhancing their skills in using key accounting software thus ensuring consistent quality in deliverables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market analysis targeting private equity funds trends, utilizing results to inform strategic decisions and adapt to evolving industry landscapes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consensus reports leveraging data analysis tools to identify trends within investment performance, enhancing client engagement strategies through tailored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process documentation for financial reporting workflows to ensure transparency and clarity in operational procedures, effectively serving as a resource for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